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07B04">
      <w:pPr>
        <w:tabs>
          <w:tab w:val="left" w:pos="315"/>
          <w:tab w:val="left" w:pos="8820"/>
        </w:tabs>
        <w:spacing w:beforeLines="100" w:afterLines="50" w:line="500" w:lineRule="exact"/>
        <w:ind w:right="267" w:rightChars="127"/>
        <w:rPr>
          <w:rFonts w:ascii="宋体" w:hAnsi="宋体"/>
          <w:b/>
          <w:bCs/>
          <w:sz w:val="52"/>
          <w:szCs w:val="52"/>
        </w:rPr>
      </w:pPr>
      <w:bookmarkStart w:id="126" w:name="_GoBack"/>
      <w:bookmarkEnd w:id="126"/>
    </w:p>
    <w:p w14:paraId="7DEFA495">
      <w:pPr>
        <w:tabs>
          <w:tab w:val="left" w:pos="315"/>
          <w:tab w:val="left" w:pos="8820"/>
        </w:tabs>
        <w:spacing w:beforeLines="100" w:afterLines="50" w:line="700" w:lineRule="exact"/>
        <w:ind w:right="267" w:rightChars="127"/>
        <w:jc w:val="center"/>
        <w:rPr>
          <w:rFonts w:ascii="宋体" w:hAnsi="宋体"/>
          <w:b/>
          <w:bCs/>
          <w:sz w:val="52"/>
          <w:szCs w:val="52"/>
        </w:rPr>
      </w:pPr>
      <w:bookmarkStart w:id="0" w:name="_Hlk9544796"/>
      <w:r>
        <w:rPr>
          <w:rFonts w:hint="eastAsia" w:ascii="宋体" w:hAnsi="宋体"/>
          <w:b/>
          <w:bCs/>
          <w:sz w:val="52"/>
          <w:szCs w:val="52"/>
        </w:rPr>
        <w:t>发包文件</w:t>
      </w:r>
    </w:p>
    <w:bookmarkEnd w:id="0"/>
    <w:p w14:paraId="180E5D2E">
      <w:pPr>
        <w:tabs>
          <w:tab w:val="left" w:pos="315"/>
          <w:tab w:val="left" w:pos="8820"/>
        </w:tabs>
        <w:spacing w:beforeLines="100" w:afterLines="50" w:line="500" w:lineRule="exact"/>
        <w:ind w:right="267" w:rightChars="127"/>
        <w:jc w:val="center"/>
        <w:rPr>
          <w:rFonts w:ascii="宋体" w:hAnsi="宋体" w:cs="宋体"/>
          <w:b/>
          <w:bCs/>
          <w:sz w:val="40"/>
          <w:szCs w:val="40"/>
        </w:rPr>
      </w:pPr>
    </w:p>
    <w:p w14:paraId="4A889906">
      <w:pPr>
        <w:tabs>
          <w:tab w:val="left" w:pos="315"/>
          <w:tab w:val="left" w:pos="8820"/>
        </w:tabs>
        <w:spacing w:beforeLines="100" w:afterLines="50" w:line="500" w:lineRule="exact"/>
        <w:ind w:right="267" w:rightChars="127"/>
        <w:jc w:val="center"/>
        <w:rPr>
          <w:rFonts w:ascii="宋体" w:hAnsi="宋体" w:cs="宋体"/>
          <w:b/>
          <w:bCs/>
          <w:sz w:val="40"/>
          <w:szCs w:val="40"/>
        </w:rPr>
      </w:pPr>
    </w:p>
    <w:p w14:paraId="3AD7D6BE">
      <w:pPr>
        <w:tabs>
          <w:tab w:val="left" w:pos="315"/>
          <w:tab w:val="left" w:pos="8820"/>
        </w:tabs>
        <w:spacing w:beforeLines="100" w:afterLines="50" w:line="500" w:lineRule="exact"/>
        <w:ind w:right="267" w:rightChars="127"/>
        <w:jc w:val="center"/>
        <w:rPr>
          <w:rFonts w:ascii="宋体" w:hAnsi="宋体" w:cs="宋体"/>
          <w:b/>
          <w:bCs/>
          <w:sz w:val="40"/>
          <w:szCs w:val="40"/>
        </w:rPr>
      </w:pPr>
    </w:p>
    <w:p w14:paraId="2E430EC0">
      <w:pPr>
        <w:tabs>
          <w:tab w:val="left" w:pos="315"/>
          <w:tab w:val="left" w:pos="8820"/>
        </w:tabs>
        <w:spacing w:beforeLines="100" w:afterLines="50" w:line="500" w:lineRule="exact"/>
        <w:ind w:right="267" w:rightChars="127"/>
        <w:jc w:val="center"/>
        <w:rPr>
          <w:rFonts w:ascii="宋体" w:hAnsi="宋体" w:cs="宋体"/>
          <w:b/>
          <w:bCs/>
          <w:sz w:val="40"/>
          <w:szCs w:val="40"/>
        </w:rPr>
      </w:pPr>
    </w:p>
    <w:p w14:paraId="4FA85B1A">
      <w:pPr>
        <w:tabs>
          <w:tab w:val="left" w:pos="315"/>
          <w:tab w:val="left" w:pos="8820"/>
        </w:tabs>
        <w:spacing w:beforeLines="100" w:afterLines="50" w:line="500" w:lineRule="exact"/>
        <w:ind w:right="267" w:rightChars="127"/>
        <w:jc w:val="center"/>
        <w:rPr>
          <w:rFonts w:ascii="宋体" w:hAnsi="宋体" w:cs="宋体"/>
          <w:b/>
          <w:bCs/>
          <w:sz w:val="36"/>
          <w:szCs w:val="36"/>
        </w:rPr>
      </w:pPr>
      <w:r>
        <w:rPr>
          <w:rFonts w:hint="eastAsia" w:ascii="宋体" w:hAnsi="宋体" w:cs="宋体"/>
          <w:b/>
          <w:bCs/>
          <w:sz w:val="36"/>
          <w:szCs w:val="36"/>
        </w:rPr>
        <w:t>（货物类）</w:t>
      </w:r>
    </w:p>
    <w:p w14:paraId="684DC3A2">
      <w:pPr>
        <w:tabs>
          <w:tab w:val="left" w:pos="315"/>
          <w:tab w:val="left" w:pos="8820"/>
        </w:tabs>
        <w:spacing w:beforeLines="100" w:afterLines="50" w:line="500" w:lineRule="exact"/>
        <w:ind w:right="267" w:rightChars="127"/>
        <w:jc w:val="center"/>
        <w:rPr>
          <w:rFonts w:ascii="宋体" w:hAnsi="宋体"/>
          <w:b/>
          <w:bCs/>
          <w:sz w:val="44"/>
          <w:szCs w:val="44"/>
        </w:rPr>
      </w:pPr>
    </w:p>
    <w:p w14:paraId="23766A02">
      <w:pPr>
        <w:tabs>
          <w:tab w:val="left" w:pos="315"/>
          <w:tab w:val="left" w:pos="8820"/>
        </w:tabs>
        <w:spacing w:beforeLines="100" w:afterLines="50" w:line="500" w:lineRule="exact"/>
        <w:ind w:right="267" w:rightChars="127"/>
        <w:jc w:val="center"/>
        <w:rPr>
          <w:rFonts w:ascii="宋体" w:hAnsi="宋体"/>
          <w:b/>
          <w:bCs/>
          <w:sz w:val="44"/>
          <w:szCs w:val="44"/>
        </w:rPr>
      </w:pPr>
    </w:p>
    <w:p w14:paraId="158C03A5">
      <w:pPr>
        <w:tabs>
          <w:tab w:val="left" w:pos="315"/>
          <w:tab w:val="left" w:pos="8820"/>
        </w:tabs>
        <w:spacing w:beforeLines="100" w:afterLines="50" w:line="500" w:lineRule="exact"/>
        <w:ind w:right="267" w:rightChars="127"/>
        <w:rPr>
          <w:rFonts w:ascii="宋体" w:hAnsi="宋体"/>
          <w:b/>
          <w:bCs/>
          <w:sz w:val="44"/>
          <w:szCs w:val="44"/>
        </w:rPr>
      </w:pPr>
    </w:p>
    <w:p w14:paraId="423DB269">
      <w:pPr>
        <w:tabs>
          <w:tab w:val="left" w:pos="2410"/>
        </w:tabs>
        <w:autoSpaceDE w:val="0"/>
        <w:autoSpaceDN w:val="0"/>
        <w:adjustRightInd w:val="0"/>
        <w:snapToGrid w:val="0"/>
        <w:spacing w:line="480" w:lineRule="auto"/>
        <w:ind w:firstLine="723" w:firstLineChars="200"/>
        <w:rPr>
          <w:rFonts w:ascii="宋体" w:hAnsi="宋体"/>
          <w:b/>
          <w:spacing w:val="20"/>
          <w:kern w:val="0"/>
          <w:sz w:val="32"/>
          <w:szCs w:val="32"/>
        </w:rPr>
      </w:pPr>
      <w:r>
        <w:rPr>
          <w:rFonts w:hint="eastAsia" w:ascii="宋体" w:hAnsi="宋体"/>
          <w:b/>
          <w:spacing w:val="20"/>
          <w:kern w:val="0"/>
          <w:sz w:val="32"/>
          <w:szCs w:val="32"/>
        </w:rPr>
        <w:t>项目名称：六安市教育体育局考试指挥中心相关设备更新升级项目</w:t>
      </w:r>
    </w:p>
    <w:p w14:paraId="085E3E58">
      <w:pPr>
        <w:tabs>
          <w:tab w:val="left" w:pos="2410"/>
        </w:tabs>
        <w:autoSpaceDE w:val="0"/>
        <w:autoSpaceDN w:val="0"/>
        <w:adjustRightInd w:val="0"/>
        <w:snapToGrid w:val="0"/>
        <w:spacing w:line="480" w:lineRule="auto"/>
        <w:ind w:firstLine="723" w:firstLineChars="200"/>
        <w:rPr>
          <w:rFonts w:ascii="宋体" w:hAnsi="宋体"/>
          <w:b/>
          <w:spacing w:val="20"/>
          <w:kern w:val="0"/>
          <w:sz w:val="32"/>
          <w:szCs w:val="32"/>
        </w:rPr>
      </w:pPr>
      <w:r>
        <w:rPr>
          <w:rFonts w:hint="eastAsia" w:ascii="宋体" w:hAnsi="宋体"/>
          <w:b/>
          <w:spacing w:val="20"/>
          <w:kern w:val="0"/>
          <w:sz w:val="32"/>
          <w:szCs w:val="32"/>
        </w:rPr>
        <w:t>项目编号：AHLT-2026166</w:t>
      </w:r>
    </w:p>
    <w:p w14:paraId="78D2CE07">
      <w:pPr>
        <w:tabs>
          <w:tab w:val="left" w:pos="2410"/>
        </w:tabs>
        <w:autoSpaceDE w:val="0"/>
        <w:autoSpaceDN w:val="0"/>
        <w:adjustRightInd w:val="0"/>
        <w:snapToGrid w:val="0"/>
        <w:spacing w:line="480" w:lineRule="auto"/>
        <w:ind w:firstLine="723" w:firstLineChars="200"/>
        <w:rPr>
          <w:rFonts w:ascii="宋体" w:hAnsi="宋体"/>
          <w:b/>
          <w:spacing w:val="20"/>
          <w:kern w:val="0"/>
          <w:sz w:val="32"/>
          <w:szCs w:val="32"/>
        </w:rPr>
      </w:pPr>
      <w:r>
        <w:rPr>
          <w:rFonts w:hint="eastAsia" w:ascii="宋体" w:hAnsi="宋体"/>
          <w:b/>
          <w:spacing w:val="20"/>
          <w:kern w:val="0"/>
          <w:sz w:val="32"/>
          <w:szCs w:val="32"/>
        </w:rPr>
        <w:t>发包 人：六安市教育体育局</w:t>
      </w:r>
    </w:p>
    <w:p w14:paraId="251DE8B1">
      <w:pPr>
        <w:tabs>
          <w:tab w:val="left" w:pos="2410"/>
        </w:tabs>
        <w:autoSpaceDE w:val="0"/>
        <w:autoSpaceDN w:val="0"/>
        <w:adjustRightInd w:val="0"/>
        <w:snapToGrid w:val="0"/>
        <w:spacing w:line="480" w:lineRule="auto"/>
        <w:ind w:firstLine="723" w:firstLineChars="200"/>
        <w:rPr>
          <w:rFonts w:ascii="宋体" w:hAnsi="宋体"/>
          <w:b/>
          <w:spacing w:val="20"/>
          <w:kern w:val="0"/>
          <w:sz w:val="32"/>
          <w:szCs w:val="32"/>
        </w:rPr>
      </w:pPr>
      <w:r>
        <w:rPr>
          <w:rFonts w:hint="eastAsia" w:ascii="宋体" w:hAnsi="宋体"/>
          <w:b/>
          <w:spacing w:val="20"/>
          <w:kern w:val="0"/>
          <w:sz w:val="32"/>
          <w:szCs w:val="32"/>
        </w:rPr>
        <w:t>代理机构：安徽省六投项目管理有限公司</w:t>
      </w:r>
    </w:p>
    <w:p w14:paraId="1F72A1C6">
      <w:pPr>
        <w:tabs>
          <w:tab w:val="left" w:pos="315"/>
          <w:tab w:val="left" w:pos="8820"/>
        </w:tabs>
        <w:spacing w:beforeLines="100" w:afterLines="50" w:line="500" w:lineRule="exact"/>
        <w:ind w:right="267" w:rightChars="127"/>
        <w:jc w:val="center"/>
        <w:rPr>
          <w:rFonts w:ascii="宋体" w:hAnsi="宋体"/>
          <w:b/>
          <w:bCs/>
          <w:sz w:val="44"/>
          <w:szCs w:val="44"/>
        </w:rPr>
      </w:pPr>
    </w:p>
    <w:p w14:paraId="20F2AC70">
      <w:pPr>
        <w:tabs>
          <w:tab w:val="left" w:pos="2410"/>
        </w:tabs>
        <w:autoSpaceDE w:val="0"/>
        <w:autoSpaceDN w:val="0"/>
        <w:adjustRightInd w:val="0"/>
        <w:snapToGrid w:val="0"/>
        <w:spacing w:line="360" w:lineRule="auto"/>
        <w:jc w:val="center"/>
        <w:rPr>
          <w:rFonts w:ascii="宋体" w:hAnsi="宋体"/>
          <w:b/>
          <w:sz w:val="36"/>
        </w:rPr>
      </w:pPr>
      <w:r>
        <w:rPr>
          <w:rFonts w:hint="eastAsia" w:ascii="宋体" w:hAnsi="宋体"/>
          <w:b/>
          <w:sz w:val="36"/>
          <w:u w:val="single"/>
        </w:rPr>
        <w:t>2026</w:t>
      </w:r>
      <w:r>
        <w:rPr>
          <w:rFonts w:hint="eastAsia" w:ascii="宋体" w:hAnsi="宋体"/>
          <w:b/>
          <w:sz w:val="36"/>
        </w:rPr>
        <w:t>年</w:t>
      </w:r>
      <w:r>
        <w:rPr>
          <w:rFonts w:hint="eastAsia" w:ascii="宋体" w:hAnsi="宋体"/>
          <w:b/>
          <w:sz w:val="36"/>
          <w:u w:val="single"/>
        </w:rPr>
        <w:t>10</w:t>
      </w:r>
      <w:r>
        <w:rPr>
          <w:rFonts w:hint="eastAsia" w:ascii="宋体" w:hAnsi="宋体"/>
          <w:b/>
          <w:sz w:val="36"/>
        </w:rPr>
        <w:t>月</w:t>
      </w:r>
      <w:r>
        <w:rPr>
          <w:rFonts w:ascii="宋体" w:hAnsi="宋体"/>
          <w:b/>
          <w:sz w:val="36"/>
        </w:rPr>
        <w:br w:type="page"/>
      </w:r>
    </w:p>
    <w:p w14:paraId="76C8BBE2">
      <w:pPr>
        <w:tabs>
          <w:tab w:val="left" w:pos="2410"/>
        </w:tabs>
        <w:autoSpaceDE w:val="0"/>
        <w:autoSpaceDN w:val="0"/>
        <w:adjustRightInd w:val="0"/>
        <w:snapToGrid w:val="0"/>
        <w:spacing w:line="360" w:lineRule="auto"/>
        <w:jc w:val="center"/>
        <w:rPr>
          <w:rFonts w:ascii="宋体" w:hAnsi="宋体"/>
          <w:b/>
          <w:sz w:val="28"/>
        </w:rPr>
      </w:pPr>
    </w:p>
    <w:p w14:paraId="2DF8D38C">
      <w:pPr>
        <w:tabs>
          <w:tab w:val="left" w:pos="2410"/>
        </w:tabs>
        <w:autoSpaceDE w:val="0"/>
        <w:autoSpaceDN w:val="0"/>
        <w:adjustRightInd w:val="0"/>
        <w:snapToGrid w:val="0"/>
        <w:spacing w:line="360" w:lineRule="auto"/>
        <w:jc w:val="center"/>
        <w:rPr>
          <w:rFonts w:ascii="宋体" w:hAnsi="宋体"/>
          <w:b/>
          <w:sz w:val="40"/>
          <w:szCs w:val="24"/>
        </w:rPr>
      </w:pPr>
      <w:r>
        <w:rPr>
          <w:rFonts w:hint="eastAsia" w:ascii="宋体" w:hAnsi="宋体"/>
          <w:b/>
          <w:sz w:val="40"/>
          <w:szCs w:val="24"/>
        </w:rPr>
        <w:t>目  录</w:t>
      </w:r>
    </w:p>
    <w:p w14:paraId="350DE531">
      <w:pPr>
        <w:tabs>
          <w:tab w:val="left" w:pos="2410"/>
        </w:tabs>
        <w:autoSpaceDE w:val="0"/>
        <w:autoSpaceDN w:val="0"/>
        <w:adjustRightInd w:val="0"/>
        <w:snapToGrid w:val="0"/>
        <w:spacing w:line="360" w:lineRule="auto"/>
        <w:jc w:val="center"/>
        <w:rPr>
          <w:rFonts w:ascii="宋体" w:hAnsi="宋体"/>
          <w:b/>
          <w:sz w:val="28"/>
        </w:rPr>
      </w:pPr>
    </w:p>
    <w:p w14:paraId="1E6C7385">
      <w:pPr>
        <w:pStyle w:val="18"/>
        <w:tabs>
          <w:tab w:val="right" w:leader="dot" w:pos="8279"/>
        </w:tabs>
        <w:spacing w:line="360" w:lineRule="auto"/>
        <w:rPr>
          <w:sz w:val="28"/>
          <w:szCs w:val="28"/>
        </w:rPr>
      </w:pPr>
      <w:r>
        <w:rPr>
          <w:rFonts w:asciiTheme="minorEastAsia" w:hAnsiTheme="minorEastAsia"/>
          <w:b/>
          <w:bCs/>
          <w:sz w:val="28"/>
          <w:szCs w:val="28"/>
        </w:rPr>
        <w:fldChar w:fldCharType="begin"/>
      </w:r>
      <w:r>
        <w:rPr>
          <w:rFonts w:hint="eastAsia" w:asciiTheme="minorEastAsia" w:hAnsiTheme="minorEastAsia"/>
          <w:b/>
          <w:bCs/>
          <w:sz w:val="28"/>
          <w:szCs w:val="28"/>
        </w:rPr>
        <w:instrText xml:space="preserve">TOC \o "1-2" \h \z \u</w:instrText>
      </w:r>
      <w:r>
        <w:rPr>
          <w:rFonts w:asciiTheme="minorEastAsia" w:hAnsiTheme="minorEastAsia"/>
          <w:b/>
          <w:bCs/>
          <w:sz w:val="28"/>
          <w:szCs w:val="28"/>
        </w:rPr>
        <w:fldChar w:fldCharType="separate"/>
      </w:r>
      <w:r>
        <w:fldChar w:fldCharType="begin"/>
      </w:r>
      <w:r>
        <w:instrText xml:space="preserve"> HYPERLINK \l "_Toc30910" </w:instrText>
      </w:r>
      <w:r>
        <w:fldChar w:fldCharType="separate"/>
      </w:r>
      <w:r>
        <w:rPr>
          <w:rFonts w:hint="eastAsia" w:asciiTheme="minorEastAsia" w:hAnsiTheme="minorEastAsia"/>
          <w:sz w:val="28"/>
          <w:szCs w:val="28"/>
        </w:rPr>
        <w:t>第一章 发包公告</w:t>
      </w:r>
      <w:r>
        <w:rPr>
          <w:sz w:val="28"/>
          <w:szCs w:val="28"/>
        </w:rPr>
        <w:tab/>
      </w:r>
      <w:r>
        <w:rPr>
          <w:sz w:val="28"/>
          <w:szCs w:val="28"/>
        </w:rPr>
        <w:fldChar w:fldCharType="begin"/>
      </w:r>
      <w:r>
        <w:rPr>
          <w:sz w:val="28"/>
          <w:szCs w:val="28"/>
        </w:rPr>
        <w:instrText xml:space="preserve"> PAGEREF _Toc30910 \h </w:instrText>
      </w:r>
      <w:r>
        <w:rPr>
          <w:sz w:val="28"/>
          <w:szCs w:val="28"/>
        </w:rPr>
        <w:fldChar w:fldCharType="separate"/>
      </w:r>
      <w:r>
        <w:rPr>
          <w:sz w:val="28"/>
          <w:szCs w:val="28"/>
        </w:rPr>
        <w:t>3</w:t>
      </w:r>
      <w:r>
        <w:rPr>
          <w:sz w:val="28"/>
          <w:szCs w:val="28"/>
        </w:rPr>
        <w:fldChar w:fldCharType="end"/>
      </w:r>
      <w:r>
        <w:rPr>
          <w:sz w:val="28"/>
          <w:szCs w:val="28"/>
        </w:rPr>
        <w:fldChar w:fldCharType="end"/>
      </w:r>
    </w:p>
    <w:p w14:paraId="739373E7">
      <w:pPr>
        <w:pStyle w:val="18"/>
        <w:tabs>
          <w:tab w:val="right" w:leader="dot" w:pos="8279"/>
        </w:tabs>
        <w:spacing w:line="360" w:lineRule="auto"/>
        <w:rPr>
          <w:sz w:val="28"/>
          <w:szCs w:val="28"/>
        </w:rPr>
      </w:pPr>
      <w:r>
        <w:fldChar w:fldCharType="begin"/>
      </w:r>
      <w:r>
        <w:instrText xml:space="preserve"> HYPERLINK \l "_Toc14251" </w:instrText>
      </w:r>
      <w:r>
        <w:fldChar w:fldCharType="separate"/>
      </w:r>
      <w:r>
        <w:rPr>
          <w:rFonts w:hint="eastAsia" w:asciiTheme="minorEastAsia" w:hAnsiTheme="minorEastAsia"/>
          <w:sz w:val="28"/>
          <w:szCs w:val="28"/>
        </w:rPr>
        <w:t>第二章 供应商</w:t>
      </w:r>
      <w:r>
        <w:rPr>
          <w:rFonts w:asciiTheme="minorEastAsia" w:hAnsiTheme="minorEastAsia"/>
          <w:sz w:val="28"/>
          <w:szCs w:val="28"/>
        </w:rPr>
        <w:t>须知</w:t>
      </w:r>
      <w:r>
        <w:rPr>
          <w:sz w:val="28"/>
          <w:szCs w:val="28"/>
        </w:rPr>
        <w:tab/>
      </w:r>
      <w:r>
        <w:rPr>
          <w:sz w:val="28"/>
          <w:szCs w:val="28"/>
        </w:rPr>
        <w:fldChar w:fldCharType="begin"/>
      </w:r>
      <w:r>
        <w:rPr>
          <w:sz w:val="28"/>
          <w:szCs w:val="28"/>
        </w:rPr>
        <w:instrText xml:space="preserve"> PAGEREF _Toc14251 \h </w:instrText>
      </w:r>
      <w:r>
        <w:rPr>
          <w:sz w:val="28"/>
          <w:szCs w:val="28"/>
        </w:rPr>
        <w:fldChar w:fldCharType="separate"/>
      </w:r>
      <w:r>
        <w:rPr>
          <w:sz w:val="28"/>
          <w:szCs w:val="28"/>
        </w:rPr>
        <w:t>8</w:t>
      </w:r>
      <w:r>
        <w:rPr>
          <w:sz w:val="28"/>
          <w:szCs w:val="28"/>
        </w:rPr>
        <w:fldChar w:fldCharType="end"/>
      </w:r>
      <w:r>
        <w:rPr>
          <w:sz w:val="28"/>
          <w:szCs w:val="28"/>
        </w:rPr>
        <w:fldChar w:fldCharType="end"/>
      </w:r>
    </w:p>
    <w:p w14:paraId="5362E93A">
      <w:pPr>
        <w:pStyle w:val="18"/>
        <w:tabs>
          <w:tab w:val="right" w:leader="dot" w:pos="8279"/>
        </w:tabs>
        <w:spacing w:line="360" w:lineRule="auto"/>
        <w:rPr>
          <w:sz w:val="28"/>
          <w:szCs w:val="28"/>
        </w:rPr>
      </w:pPr>
      <w:r>
        <w:fldChar w:fldCharType="begin"/>
      </w:r>
      <w:r>
        <w:instrText xml:space="preserve"> HYPERLINK \l "_Toc19656" </w:instrText>
      </w:r>
      <w:r>
        <w:fldChar w:fldCharType="separate"/>
      </w:r>
      <w:r>
        <w:rPr>
          <w:rFonts w:hint="eastAsia" w:asciiTheme="minorEastAsia" w:hAnsiTheme="minorEastAsia"/>
          <w:sz w:val="28"/>
          <w:szCs w:val="28"/>
        </w:rPr>
        <w:t>第三章  采购需求</w:t>
      </w:r>
      <w:r>
        <w:rPr>
          <w:sz w:val="28"/>
          <w:szCs w:val="28"/>
        </w:rPr>
        <w:tab/>
      </w:r>
      <w:r>
        <w:rPr>
          <w:sz w:val="28"/>
          <w:szCs w:val="28"/>
        </w:rPr>
        <w:fldChar w:fldCharType="begin"/>
      </w:r>
      <w:r>
        <w:rPr>
          <w:sz w:val="28"/>
          <w:szCs w:val="28"/>
        </w:rPr>
        <w:instrText xml:space="preserve"> PAGEREF _Toc19656 \h </w:instrText>
      </w:r>
      <w:r>
        <w:rPr>
          <w:sz w:val="28"/>
          <w:szCs w:val="28"/>
        </w:rPr>
        <w:fldChar w:fldCharType="separate"/>
      </w:r>
      <w:r>
        <w:rPr>
          <w:sz w:val="28"/>
          <w:szCs w:val="28"/>
        </w:rPr>
        <w:t>25</w:t>
      </w:r>
      <w:r>
        <w:rPr>
          <w:sz w:val="28"/>
          <w:szCs w:val="28"/>
        </w:rPr>
        <w:fldChar w:fldCharType="end"/>
      </w:r>
      <w:r>
        <w:rPr>
          <w:sz w:val="28"/>
          <w:szCs w:val="28"/>
        </w:rPr>
        <w:fldChar w:fldCharType="end"/>
      </w:r>
    </w:p>
    <w:p w14:paraId="48B060DA">
      <w:pPr>
        <w:pStyle w:val="18"/>
        <w:tabs>
          <w:tab w:val="right" w:leader="dot" w:pos="8279"/>
        </w:tabs>
        <w:spacing w:line="360" w:lineRule="auto"/>
        <w:rPr>
          <w:sz w:val="28"/>
          <w:szCs w:val="28"/>
        </w:rPr>
      </w:pPr>
      <w:r>
        <w:fldChar w:fldCharType="begin"/>
      </w:r>
      <w:r>
        <w:instrText xml:space="preserve"> HYPERLINK \l "_Toc9944" </w:instrText>
      </w:r>
      <w:r>
        <w:fldChar w:fldCharType="separate"/>
      </w:r>
      <w:r>
        <w:rPr>
          <w:rFonts w:hint="eastAsia" w:asciiTheme="minorEastAsia" w:hAnsiTheme="minorEastAsia"/>
          <w:sz w:val="28"/>
          <w:szCs w:val="28"/>
        </w:rPr>
        <w:t>第四章  评审方法和标准</w:t>
      </w:r>
      <w:r>
        <w:rPr>
          <w:sz w:val="28"/>
          <w:szCs w:val="28"/>
        </w:rPr>
        <w:tab/>
      </w:r>
      <w:r>
        <w:rPr>
          <w:sz w:val="28"/>
          <w:szCs w:val="28"/>
        </w:rPr>
        <w:fldChar w:fldCharType="begin"/>
      </w:r>
      <w:r>
        <w:rPr>
          <w:sz w:val="28"/>
          <w:szCs w:val="28"/>
        </w:rPr>
        <w:instrText xml:space="preserve"> PAGEREF _Toc9944 \h </w:instrText>
      </w:r>
      <w:r>
        <w:rPr>
          <w:sz w:val="28"/>
          <w:szCs w:val="28"/>
        </w:rPr>
        <w:fldChar w:fldCharType="separate"/>
      </w:r>
      <w:r>
        <w:rPr>
          <w:sz w:val="28"/>
          <w:szCs w:val="28"/>
        </w:rPr>
        <w:t>27</w:t>
      </w:r>
      <w:r>
        <w:rPr>
          <w:sz w:val="28"/>
          <w:szCs w:val="28"/>
        </w:rPr>
        <w:fldChar w:fldCharType="end"/>
      </w:r>
      <w:r>
        <w:rPr>
          <w:sz w:val="28"/>
          <w:szCs w:val="28"/>
        </w:rPr>
        <w:fldChar w:fldCharType="end"/>
      </w:r>
    </w:p>
    <w:p w14:paraId="7E465632">
      <w:pPr>
        <w:pStyle w:val="18"/>
        <w:tabs>
          <w:tab w:val="right" w:leader="dot" w:pos="8279"/>
        </w:tabs>
        <w:spacing w:line="360" w:lineRule="auto"/>
        <w:rPr>
          <w:sz w:val="28"/>
          <w:szCs w:val="28"/>
        </w:rPr>
      </w:pPr>
      <w:r>
        <w:fldChar w:fldCharType="begin"/>
      </w:r>
      <w:r>
        <w:instrText xml:space="preserve"> HYPERLINK \l "_Toc29923" </w:instrText>
      </w:r>
      <w:r>
        <w:fldChar w:fldCharType="separate"/>
      </w:r>
      <w:r>
        <w:rPr>
          <w:rFonts w:hint="eastAsia" w:ascii="宋体" w:hAnsi="宋体" w:eastAsia="宋体"/>
          <w:sz w:val="28"/>
          <w:szCs w:val="28"/>
        </w:rPr>
        <w:t>第五章  发包</w:t>
      </w:r>
      <w:r>
        <w:rPr>
          <w:rFonts w:ascii="宋体" w:hAnsi="宋体" w:eastAsia="宋体"/>
          <w:sz w:val="28"/>
          <w:szCs w:val="28"/>
        </w:rPr>
        <w:t>合同</w:t>
      </w:r>
      <w:r>
        <w:rPr>
          <w:sz w:val="28"/>
          <w:szCs w:val="28"/>
        </w:rPr>
        <w:tab/>
      </w:r>
      <w:r>
        <w:rPr>
          <w:sz w:val="28"/>
          <w:szCs w:val="28"/>
        </w:rPr>
        <w:fldChar w:fldCharType="begin"/>
      </w:r>
      <w:r>
        <w:rPr>
          <w:sz w:val="28"/>
          <w:szCs w:val="28"/>
        </w:rPr>
        <w:instrText xml:space="preserve"> PAGEREF _Toc29923 \h </w:instrText>
      </w:r>
      <w:r>
        <w:rPr>
          <w:sz w:val="28"/>
          <w:szCs w:val="28"/>
        </w:rPr>
        <w:fldChar w:fldCharType="separate"/>
      </w:r>
      <w:r>
        <w:rPr>
          <w:sz w:val="28"/>
          <w:szCs w:val="28"/>
        </w:rPr>
        <w:t>30</w:t>
      </w:r>
      <w:r>
        <w:rPr>
          <w:sz w:val="28"/>
          <w:szCs w:val="28"/>
        </w:rPr>
        <w:fldChar w:fldCharType="end"/>
      </w:r>
      <w:r>
        <w:rPr>
          <w:sz w:val="28"/>
          <w:szCs w:val="28"/>
        </w:rPr>
        <w:fldChar w:fldCharType="end"/>
      </w:r>
    </w:p>
    <w:p w14:paraId="64746F28">
      <w:pPr>
        <w:pStyle w:val="18"/>
        <w:tabs>
          <w:tab w:val="right" w:leader="dot" w:pos="8279"/>
        </w:tabs>
        <w:spacing w:line="360" w:lineRule="auto"/>
        <w:rPr>
          <w:sz w:val="28"/>
          <w:szCs w:val="28"/>
        </w:rPr>
      </w:pPr>
      <w:r>
        <w:fldChar w:fldCharType="begin"/>
      </w:r>
      <w:r>
        <w:instrText xml:space="preserve"> HYPERLINK \l "_Toc10214" </w:instrText>
      </w:r>
      <w:r>
        <w:fldChar w:fldCharType="separate"/>
      </w:r>
      <w:r>
        <w:rPr>
          <w:rFonts w:hint="eastAsia" w:asciiTheme="minorEastAsia" w:hAnsiTheme="minorEastAsia"/>
          <w:sz w:val="28"/>
          <w:szCs w:val="28"/>
        </w:rPr>
        <w:t>第六章  响应文件格式</w:t>
      </w:r>
      <w:r>
        <w:rPr>
          <w:sz w:val="28"/>
          <w:szCs w:val="28"/>
        </w:rPr>
        <w:tab/>
      </w:r>
      <w:r>
        <w:rPr>
          <w:sz w:val="28"/>
          <w:szCs w:val="28"/>
        </w:rPr>
        <w:fldChar w:fldCharType="begin"/>
      </w:r>
      <w:r>
        <w:rPr>
          <w:sz w:val="28"/>
          <w:szCs w:val="28"/>
        </w:rPr>
        <w:instrText xml:space="preserve"> PAGEREF _Toc10214 \h </w:instrText>
      </w:r>
      <w:r>
        <w:rPr>
          <w:sz w:val="28"/>
          <w:szCs w:val="28"/>
        </w:rPr>
        <w:fldChar w:fldCharType="separate"/>
      </w:r>
      <w:r>
        <w:rPr>
          <w:sz w:val="28"/>
          <w:szCs w:val="28"/>
        </w:rPr>
        <w:t>40</w:t>
      </w:r>
      <w:r>
        <w:rPr>
          <w:sz w:val="28"/>
          <w:szCs w:val="28"/>
        </w:rPr>
        <w:fldChar w:fldCharType="end"/>
      </w:r>
      <w:r>
        <w:rPr>
          <w:sz w:val="28"/>
          <w:szCs w:val="28"/>
        </w:rPr>
        <w:fldChar w:fldCharType="end"/>
      </w:r>
    </w:p>
    <w:p w14:paraId="3CEEA568">
      <w:pPr>
        <w:pStyle w:val="18"/>
        <w:tabs>
          <w:tab w:val="right" w:leader="dot" w:pos="8279"/>
        </w:tabs>
        <w:spacing w:line="360" w:lineRule="auto"/>
        <w:rPr>
          <w:sz w:val="28"/>
          <w:szCs w:val="28"/>
        </w:rPr>
      </w:pPr>
    </w:p>
    <w:p w14:paraId="7860D61C">
      <w:pPr>
        <w:pStyle w:val="9"/>
        <w:tabs>
          <w:tab w:val="right" w:leader="dot" w:pos="8296"/>
        </w:tabs>
        <w:spacing w:line="360" w:lineRule="auto"/>
        <w:rPr>
          <w:rFonts w:asciiTheme="minorEastAsia" w:hAnsiTheme="minorEastAsia"/>
          <w:b/>
          <w:sz w:val="32"/>
        </w:rPr>
      </w:pPr>
      <w:r>
        <w:rPr>
          <w:rFonts w:asciiTheme="minorEastAsia" w:hAnsiTheme="minorEastAsia"/>
          <w:bCs/>
          <w:sz w:val="28"/>
          <w:szCs w:val="28"/>
        </w:rPr>
        <w:fldChar w:fldCharType="end"/>
      </w:r>
    </w:p>
    <w:p w14:paraId="3A0019C2">
      <w:pPr>
        <w:spacing w:line="360" w:lineRule="auto"/>
        <w:jc w:val="center"/>
        <w:outlineLvl w:val="1"/>
        <w:rPr>
          <w:rFonts w:asciiTheme="minorEastAsia" w:hAnsiTheme="minorEastAsia" w:eastAsiaTheme="minorEastAsia"/>
          <w:b/>
          <w:sz w:val="28"/>
        </w:rPr>
        <w:sectPr>
          <w:headerReference r:id="rId3" w:type="default"/>
          <w:footerReference r:id="rId4" w:type="default"/>
          <w:pgSz w:w="11907" w:h="16840"/>
          <w:pgMar w:top="1474" w:right="1814" w:bottom="1474" w:left="1814" w:header="851" w:footer="992" w:gutter="0"/>
          <w:cols w:space="720" w:num="1"/>
          <w:docGrid w:linePitch="462" w:charSpace="0"/>
        </w:sectPr>
      </w:pPr>
    </w:p>
    <w:p w14:paraId="613D4FEC">
      <w:pPr>
        <w:spacing w:line="360" w:lineRule="auto"/>
        <w:jc w:val="center"/>
        <w:outlineLvl w:val="0"/>
        <w:rPr>
          <w:rFonts w:asciiTheme="minorEastAsia" w:hAnsiTheme="minorEastAsia" w:eastAsiaTheme="minorEastAsia"/>
          <w:b/>
          <w:sz w:val="28"/>
        </w:rPr>
      </w:pPr>
      <w:r>
        <w:rPr>
          <w:rFonts w:hint="eastAsia" w:ascii="华文中宋" w:hAnsi="华文中宋" w:eastAsia="华文中宋" w:cs="华文中宋"/>
          <w:b/>
          <w:sz w:val="44"/>
          <w:szCs w:val="44"/>
        </w:rPr>
        <w:t>六安市教育体育局考试指挥中心相关设备更新升级项目发包公告</w:t>
      </w:r>
    </w:p>
    <w:p w14:paraId="6188DAFB">
      <w:pPr>
        <w:pBdr>
          <w:top w:val="single" w:color="auto" w:sz="4" w:space="1"/>
          <w:left w:val="single" w:color="auto" w:sz="4" w:space="4"/>
          <w:bottom w:val="single" w:color="auto" w:sz="4" w:space="1"/>
          <w:right w:val="single" w:color="auto" w:sz="4" w:space="4"/>
        </w:pBd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项目概况：</w:t>
      </w:r>
      <w:r>
        <w:rPr>
          <w:rFonts w:hint="eastAsia" w:ascii="仿宋" w:hAnsi="仿宋" w:eastAsia="仿宋" w:cs="仿宋"/>
          <w:sz w:val="28"/>
          <w:szCs w:val="28"/>
          <w:u w:val="single"/>
        </w:rPr>
        <w:t>六安市教育体育局考试指挥中心相关设备更新升级项目（项目编号：AHLT-2026166）</w:t>
      </w:r>
      <w:r>
        <w:rPr>
          <w:rFonts w:hint="eastAsia" w:ascii="仿宋" w:hAnsi="仿宋" w:eastAsia="仿宋" w:cs="仿宋"/>
          <w:sz w:val="28"/>
          <w:szCs w:val="28"/>
        </w:rPr>
        <w:t>的潜在供应商应在六安市教育体育局（jyj.luan.gov.cn）获取发包文件，并于</w:t>
      </w:r>
      <w:r>
        <w:rPr>
          <w:rFonts w:hint="eastAsia" w:ascii="仿宋" w:hAnsi="仿宋" w:eastAsia="仿宋" w:cs="仿宋"/>
          <w:sz w:val="28"/>
          <w:szCs w:val="28"/>
          <w:u w:val="single"/>
        </w:rPr>
        <w:t>2026</w:t>
      </w:r>
      <w:r>
        <w:rPr>
          <w:rFonts w:hint="eastAsia" w:ascii="仿宋" w:hAnsi="仿宋" w:eastAsia="仿宋" w:cs="仿宋"/>
          <w:sz w:val="28"/>
          <w:szCs w:val="28"/>
        </w:rPr>
        <w:t>年</w:t>
      </w:r>
      <w:r>
        <w:rPr>
          <w:rFonts w:hint="eastAsia" w:ascii="仿宋" w:hAnsi="仿宋" w:eastAsia="仿宋" w:cs="仿宋"/>
          <w:sz w:val="28"/>
          <w:szCs w:val="28"/>
          <w:u w:val="single"/>
        </w:rPr>
        <w:t>10</w:t>
      </w:r>
      <w:r>
        <w:rPr>
          <w:rFonts w:hint="eastAsia" w:ascii="仿宋" w:hAnsi="仿宋" w:eastAsia="仿宋" w:cs="仿宋"/>
          <w:sz w:val="28"/>
          <w:szCs w:val="28"/>
        </w:rPr>
        <w:t>月</w:t>
      </w:r>
      <w:r>
        <w:rPr>
          <w:rFonts w:hint="eastAsia" w:ascii="仿宋" w:hAnsi="仿宋" w:eastAsia="仿宋" w:cs="仿宋"/>
          <w:sz w:val="28"/>
          <w:szCs w:val="28"/>
          <w:u w:val="single"/>
        </w:rPr>
        <w:t>24</w:t>
      </w:r>
      <w:r>
        <w:rPr>
          <w:rFonts w:hint="eastAsia" w:ascii="仿宋" w:hAnsi="仿宋" w:eastAsia="仿宋" w:cs="仿宋"/>
          <w:sz w:val="28"/>
          <w:szCs w:val="28"/>
        </w:rPr>
        <w:t>日</w:t>
      </w:r>
      <w:r>
        <w:rPr>
          <w:rFonts w:hint="eastAsia" w:ascii="仿宋" w:hAnsi="仿宋" w:eastAsia="仿宋" w:cs="仿宋"/>
          <w:sz w:val="28"/>
          <w:szCs w:val="28"/>
          <w:u w:val="single"/>
        </w:rPr>
        <w:t>15</w:t>
      </w:r>
      <w:r>
        <w:rPr>
          <w:rFonts w:hint="eastAsia" w:ascii="仿宋" w:hAnsi="仿宋" w:eastAsia="仿宋" w:cs="仿宋"/>
          <w:sz w:val="28"/>
          <w:szCs w:val="28"/>
        </w:rPr>
        <w:t>点</w:t>
      </w:r>
      <w:r>
        <w:rPr>
          <w:rFonts w:hint="eastAsia" w:ascii="仿宋" w:hAnsi="仿宋" w:eastAsia="仿宋" w:cs="仿宋"/>
          <w:sz w:val="28"/>
          <w:szCs w:val="28"/>
          <w:u w:val="single"/>
        </w:rPr>
        <w:t>00</w:t>
      </w:r>
      <w:r>
        <w:rPr>
          <w:rFonts w:hint="eastAsia" w:ascii="仿宋" w:hAnsi="仿宋" w:eastAsia="仿宋" w:cs="仿宋"/>
          <w:sz w:val="28"/>
          <w:szCs w:val="28"/>
        </w:rPr>
        <w:t>分（北京时间）前提交响应文件。</w:t>
      </w:r>
    </w:p>
    <w:p w14:paraId="42887562">
      <w:pPr>
        <w:pStyle w:val="3"/>
        <w:spacing w:before="0" w:after="0" w:line="560" w:lineRule="exact"/>
        <w:rPr>
          <w:rFonts w:ascii="黑体" w:hAnsi="黑体" w:cs="黑体"/>
          <w:b w:val="0"/>
          <w:sz w:val="28"/>
          <w:szCs w:val="28"/>
        </w:rPr>
      </w:pPr>
      <w:bookmarkStart w:id="1" w:name="_Toc13970"/>
      <w:bookmarkStart w:id="2" w:name="_Toc28359089"/>
      <w:bookmarkStart w:id="3" w:name="_Toc31720"/>
      <w:bookmarkStart w:id="4" w:name="_Toc35393798"/>
      <w:bookmarkStart w:id="5" w:name="_Toc35393629"/>
      <w:bookmarkStart w:id="6" w:name="_Toc20658"/>
      <w:bookmarkStart w:id="7" w:name="_Toc9864"/>
      <w:bookmarkStart w:id="8" w:name="_Toc28359012"/>
      <w:r>
        <w:rPr>
          <w:rFonts w:hint="eastAsia" w:ascii="黑体" w:hAnsi="黑体" w:cs="黑体"/>
          <w:b w:val="0"/>
          <w:sz w:val="28"/>
          <w:szCs w:val="28"/>
        </w:rPr>
        <w:t>一、项目基本情况</w:t>
      </w:r>
      <w:bookmarkEnd w:id="1"/>
      <w:bookmarkEnd w:id="2"/>
      <w:bookmarkEnd w:id="3"/>
      <w:bookmarkEnd w:id="4"/>
      <w:bookmarkEnd w:id="5"/>
      <w:bookmarkEnd w:id="6"/>
      <w:bookmarkEnd w:id="7"/>
      <w:bookmarkEnd w:id="8"/>
    </w:p>
    <w:p w14:paraId="43F3D07D">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1、项目编号：AHLT-2026166</w:t>
      </w:r>
    </w:p>
    <w:p w14:paraId="493AA7EF">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2、项目名称：六安市教育体育局考试指挥中心相关设备更新升级项目</w:t>
      </w:r>
    </w:p>
    <w:p w14:paraId="44CD3131">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3、项目类型：货物类</w:t>
      </w:r>
    </w:p>
    <w:p w14:paraId="3A39A4D6">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4、预算金额：371725.43元</w:t>
      </w:r>
    </w:p>
    <w:p w14:paraId="0615EA50">
      <w:pPr>
        <w:widowControl/>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5、最高限价：371725.43元</w:t>
      </w:r>
    </w:p>
    <w:p w14:paraId="19C6B35E">
      <w:pPr>
        <w:widowControl/>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6、采购需求：本项目为六安市教育体育局考试指挥中心（六安市教育招生考试院二楼会议室）大屏升级改造及监控存储扩容服务采购项目，拟通过对现有会议室显示设备升级、监控存储设备扩容，优化市级国家教育考试指挥中心可视化展示及安防监控存储能力，保障会议展示效果及监控数据存储安全、稳定，全面提升会议显示设备配套及安防运维保障水平。具体详见采购需求。</w:t>
      </w:r>
    </w:p>
    <w:p w14:paraId="25CC1EF4">
      <w:pPr>
        <w:widowControl/>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7、合同履行期限：成交供应商须在合同签订生效后15个日历天内完成本项目全部建设内容（含供货、拆除、安装、调试）并交付发包人使用。</w:t>
      </w:r>
    </w:p>
    <w:p w14:paraId="32A9A7CD">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8、是否接受联合体：本项目不接受联合体。</w:t>
      </w:r>
    </w:p>
    <w:p w14:paraId="49BF3A62">
      <w:pPr>
        <w:pStyle w:val="3"/>
        <w:spacing w:before="0" w:after="0" w:line="560" w:lineRule="exact"/>
        <w:rPr>
          <w:rFonts w:ascii="黑体" w:hAnsi="黑体" w:cs="黑体"/>
          <w:b w:val="0"/>
          <w:sz w:val="28"/>
          <w:szCs w:val="28"/>
        </w:rPr>
      </w:pPr>
      <w:bookmarkStart w:id="9" w:name="_Toc35393630"/>
      <w:bookmarkStart w:id="10" w:name="_Toc18558"/>
      <w:bookmarkStart w:id="11" w:name="_Toc24573"/>
      <w:bookmarkStart w:id="12" w:name="_Toc28359013"/>
      <w:bookmarkStart w:id="13" w:name="_Toc28359090"/>
      <w:bookmarkStart w:id="14" w:name="_Toc31029"/>
      <w:bookmarkStart w:id="15" w:name="_Toc35393799"/>
      <w:bookmarkStart w:id="16" w:name="_Toc8072"/>
      <w:bookmarkStart w:id="17" w:name="_Toc28359014"/>
      <w:bookmarkStart w:id="18" w:name="_Toc28359091"/>
      <w:r>
        <w:rPr>
          <w:rFonts w:hint="eastAsia" w:ascii="黑体" w:hAnsi="黑体" w:cs="黑体"/>
          <w:b w:val="0"/>
          <w:sz w:val="28"/>
          <w:szCs w:val="28"/>
        </w:rPr>
        <w:t>二、供应商的资格要求</w:t>
      </w:r>
      <w:bookmarkEnd w:id="9"/>
      <w:bookmarkEnd w:id="10"/>
      <w:bookmarkEnd w:id="11"/>
      <w:bookmarkEnd w:id="12"/>
      <w:bookmarkEnd w:id="13"/>
      <w:bookmarkEnd w:id="14"/>
      <w:bookmarkEnd w:id="15"/>
      <w:bookmarkEnd w:id="16"/>
    </w:p>
    <w:p w14:paraId="21D34366">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1、供应商参加采购活动应当具备下列条件:</w:t>
      </w:r>
    </w:p>
    <w:p w14:paraId="5363E12E">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1.1具有独立承担民事责任的能力；</w:t>
      </w:r>
    </w:p>
    <w:p w14:paraId="3A530B97">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1.2具有良好的商业信誉和健全的财务会计制度；</w:t>
      </w:r>
    </w:p>
    <w:p w14:paraId="26181FF2">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1.3具有履行合同所必需的设备和专业技术能力；</w:t>
      </w:r>
    </w:p>
    <w:p w14:paraId="10F6DE03">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1.4有依法缴纳税收和社会保障资金的良好记录；</w:t>
      </w:r>
    </w:p>
    <w:p w14:paraId="16835B4F">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1.5参加采购活动前三年内，在经营活动中没有重大违法记录；</w:t>
      </w:r>
    </w:p>
    <w:p w14:paraId="5AFA4AC0">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1.6法律、行政法规规定的其他条件。</w:t>
      </w:r>
    </w:p>
    <w:p w14:paraId="46FB22D1">
      <w:pPr>
        <w:spacing w:line="56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注：各供应商应在响应文件中提供上述内容的承诺函（承诺函格式自拟），评审小组以承诺函为评审依据，未提供承诺函的视为响应无效。</w:t>
      </w:r>
    </w:p>
    <w:p w14:paraId="15CAEBE2">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2、本项目的特定资格要求：无。</w:t>
      </w:r>
    </w:p>
    <w:p w14:paraId="0C65EA0A">
      <w:pPr>
        <w:pStyle w:val="3"/>
        <w:spacing w:before="0" w:after="0" w:line="560" w:lineRule="exact"/>
        <w:rPr>
          <w:rFonts w:ascii="黑体" w:hAnsi="黑体" w:cs="黑体"/>
          <w:b w:val="0"/>
          <w:sz w:val="28"/>
          <w:szCs w:val="28"/>
        </w:rPr>
      </w:pPr>
      <w:bookmarkStart w:id="19" w:name="_Toc32583"/>
      <w:bookmarkStart w:id="20" w:name="_Toc23310"/>
      <w:bookmarkStart w:id="21" w:name="_Toc35393800"/>
      <w:bookmarkStart w:id="22" w:name="_Toc26634"/>
      <w:bookmarkStart w:id="23" w:name="_Toc35393631"/>
      <w:bookmarkStart w:id="24" w:name="_Toc575"/>
      <w:r>
        <w:rPr>
          <w:rFonts w:hint="eastAsia" w:ascii="黑体" w:hAnsi="黑体" w:cs="黑体"/>
          <w:b w:val="0"/>
          <w:sz w:val="28"/>
          <w:szCs w:val="28"/>
        </w:rPr>
        <w:t>三、获取发包文件</w:t>
      </w:r>
      <w:bookmarkEnd w:id="17"/>
      <w:bookmarkEnd w:id="18"/>
      <w:bookmarkEnd w:id="19"/>
      <w:bookmarkEnd w:id="20"/>
      <w:bookmarkEnd w:id="21"/>
      <w:bookmarkEnd w:id="22"/>
      <w:bookmarkEnd w:id="23"/>
      <w:bookmarkEnd w:id="24"/>
    </w:p>
    <w:p w14:paraId="679DA980">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1、时间：</w:t>
      </w:r>
      <w:r>
        <w:rPr>
          <w:rFonts w:hint="eastAsia" w:ascii="仿宋" w:hAnsi="仿宋" w:eastAsia="仿宋" w:cs="仿宋"/>
          <w:bCs/>
          <w:sz w:val="28"/>
          <w:szCs w:val="28"/>
          <w:u w:val="single"/>
        </w:rPr>
        <w:t>2026</w:t>
      </w:r>
      <w:r>
        <w:rPr>
          <w:rFonts w:hint="eastAsia" w:ascii="仿宋" w:hAnsi="仿宋" w:eastAsia="仿宋" w:cs="仿宋"/>
          <w:bCs/>
          <w:sz w:val="28"/>
          <w:szCs w:val="28"/>
        </w:rPr>
        <w:t>年</w:t>
      </w:r>
      <w:r>
        <w:rPr>
          <w:rFonts w:hint="eastAsia" w:ascii="仿宋" w:hAnsi="仿宋" w:eastAsia="仿宋" w:cs="仿宋"/>
          <w:bCs/>
          <w:sz w:val="28"/>
          <w:szCs w:val="28"/>
          <w:u w:val="single"/>
        </w:rPr>
        <w:t>10</w:t>
      </w:r>
      <w:r>
        <w:rPr>
          <w:rFonts w:hint="eastAsia" w:ascii="仿宋" w:hAnsi="仿宋" w:eastAsia="仿宋" w:cs="仿宋"/>
          <w:bCs/>
          <w:sz w:val="28"/>
          <w:szCs w:val="28"/>
        </w:rPr>
        <w:t>月</w:t>
      </w:r>
      <w:r>
        <w:rPr>
          <w:rFonts w:hint="eastAsia" w:ascii="仿宋" w:hAnsi="仿宋" w:eastAsia="仿宋" w:cs="仿宋"/>
          <w:bCs/>
          <w:sz w:val="28"/>
          <w:szCs w:val="28"/>
          <w:u w:val="single"/>
        </w:rPr>
        <w:t>19</w:t>
      </w:r>
      <w:r>
        <w:rPr>
          <w:rFonts w:hint="eastAsia" w:ascii="仿宋" w:hAnsi="仿宋" w:eastAsia="仿宋" w:cs="仿宋"/>
          <w:bCs/>
          <w:sz w:val="28"/>
          <w:szCs w:val="28"/>
        </w:rPr>
        <w:t>日至</w:t>
      </w:r>
      <w:r>
        <w:rPr>
          <w:rFonts w:hint="eastAsia" w:ascii="仿宋" w:hAnsi="仿宋" w:eastAsia="仿宋" w:cs="仿宋"/>
          <w:bCs/>
          <w:sz w:val="28"/>
          <w:szCs w:val="28"/>
          <w:u w:val="single"/>
        </w:rPr>
        <w:t>2026</w:t>
      </w:r>
      <w:r>
        <w:rPr>
          <w:rFonts w:hint="eastAsia" w:ascii="仿宋" w:hAnsi="仿宋" w:eastAsia="仿宋" w:cs="仿宋"/>
          <w:bCs/>
          <w:sz w:val="28"/>
          <w:szCs w:val="28"/>
        </w:rPr>
        <w:t>年</w:t>
      </w:r>
      <w:r>
        <w:rPr>
          <w:rFonts w:hint="eastAsia" w:ascii="仿宋" w:hAnsi="仿宋" w:eastAsia="仿宋" w:cs="仿宋"/>
          <w:bCs/>
          <w:sz w:val="28"/>
          <w:szCs w:val="28"/>
          <w:u w:val="single"/>
        </w:rPr>
        <w:t>10</w:t>
      </w:r>
      <w:r>
        <w:rPr>
          <w:rFonts w:hint="eastAsia" w:ascii="仿宋" w:hAnsi="仿宋" w:eastAsia="仿宋" w:cs="仿宋"/>
          <w:bCs/>
          <w:sz w:val="28"/>
          <w:szCs w:val="28"/>
        </w:rPr>
        <w:t>月</w:t>
      </w:r>
      <w:r>
        <w:rPr>
          <w:rFonts w:hint="eastAsia" w:ascii="仿宋" w:hAnsi="仿宋" w:eastAsia="仿宋" w:cs="仿宋"/>
          <w:bCs/>
          <w:sz w:val="28"/>
          <w:szCs w:val="28"/>
          <w:u w:val="single"/>
        </w:rPr>
        <w:t>24</w:t>
      </w:r>
      <w:r>
        <w:rPr>
          <w:rFonts w:hint="eastAsia" w:ascii="仿宋" w:hAnsi="仿宋" w:eastAsia="仿宋" w:cs="仿宋"/>
          <w:bCs/>
          <w:sz w:val="28"/>
          <w:szCs w:val="28"/>
        </w:rPr>
        <w:t>日</w:t>
      </w:r>
      <w:r>
        <w:rPr>
          <w:rFonts w:hint="eastAsia" w:ascii="仿宋" w:hAnsi="仿宋" w:eastAsia="仿宋" w:cs="仿宋"/>
          <w:sz w:val="28"/>
          <w:szCs w:val="28"/>
        </w:rPr>
        <w:t>（北京时间）</w:t>
      </w:r>
    </w:p>
    <w:p w14:paraId="06FFD7D8">
      <w:pPr>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2、地点：六安市教育体育局（jyj.luan.gov.cn）</w:t>
      </w:r>
    </w:p>
    <w:p w14:paraId="25708027">
      <w:pPr>
        <w:widowControl/>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3、获取方式：网上下载</w:t>
      </w:r>
    </w:p>
    <w:p w14:paraId="64BC9023">
      <w:pPr>
        <w:widowControl/>
        <w:shd w:val="clear" w:color="auto" w:fill="FFFFFF"/>
        <w:spacing w:line="560" w:lineRule="exact"/>
        <w:ind w:firstLine="560" w:firstLineChars="200"/>
        <w:rPr>
          <w:rFonts w:ascii="仿宋" w:hAnsi="仿宋" w:eastAsia="仿宋" w:cs="仿宋"/>
          <w:kern w:val="0"/>
          <w:sz w:val="28"/>
          <w:szCs w:val="28"/>
        </w:rPr>
      </w:pPr>
      <w:r>
        <w:rPr>
          <w:rFonts w:hint="eastAsia" w:ascii="仿宋" w:hAnsi="仿宋" w:eastAsia="仿宋" w:cs="仿宋"/>
          <w:sz w:val="28"/>
          <w:szCs w:val="28"/>
        </w:rPr>
        <w:t>①</w:t>
      </w:r>
      <w:r>
        <w:rPr>
          <w:rFonts w:hint="eastAsia" w:ascii="仿宋" w:hAnsi="仿宋" w:eastAsia="仿宋" w:cs="仿宋"/>
          <w:kern w:val="0"/>
          <w:sz w:val="28"/>
          <w:szCs w:val="28"/>
        </w:rPr>
        <w:t>本项目发包文件（答疑澄清等相关文件资料）从六安市教育体育局官网下载。</w:t>
      </w:r>
    </w:p>
    <w:p w14:paraId="4DDED3BC">
      <w:pPr>
        <w:widowControl/>
        <w:shd w:val="clear" w:color="auto" w:fill="FFFFFF"/>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②</w:t>
      </w:r>
      <w:r>
        <w:rPr>
          <w:rFonts w:hint="eastAsia" w:ascii="仿宋" w:hAnsi="仿宋" w:eastAsia="仿宋" w:cs="仿宋"/>
          <w:color w:val="000000"/>
          <w:sz w:val="28"/>
          <w:szCs w:val="28"/>
        </w:rPr>
        <w:t>为确保采购流程规范有序，各潜在供应商须在领取发包文件时，同步将加盖单位公章的营业执照扫描件或复印件，作为报名材料提交至指定邮箱：365253736@qq.com。未按规定完成报名手续的，其后续提交的响应文件将不予接收</w:t>
      </w:r>
      <w:r>
        <w:rPr>
          <w:rFonts w:hint="eastAsia" w:ascii="仿宋" w:hAnsi="仿宋" w:eastAsia="仿宋" w:cs="仿宋"/>
          <w:kern w:val="0"/>
          <w:sz w:val="28"/>
          <w:szCs w:val="28"/>
        </w:rPr>
        <w:t>。</w:t>
      </w:r>
    </w:p>
    <w:p w14:paraId="7BB9FCA7">
      <w:pPr>
        <w:pStyle w:val="3"/>
        <w:spacing w:before="0" w:after="0" w:line="560" w:lineRule="exact"/>
        <w:rPr>
          <w:rFonts w:ascii="黑体" w:hAnsi="黑体" w:cs="黑体"/>
          <w:b w:val="0"/>
          <w:sz w:val="28"/>
          <w:szCs w:val="28"/>
        </w:rPr>
      </w:pPr>
      <w:bookmarkStart w:id="25" w:name="_Toc35393632"/>
      <w:bookmarkStart w:id="26" w:name="_Toc28359092"/>
      <w:bookmarkStart w:id="27" w:name="_Toc28359015"/>
      <w:bookmarkStart w:id="28" w:name="_Toc35393801"/>
      <w:bookmarkStart w:id="29" w:name="_Toc30719"/>
      <w:bookmarkStart w:id="30" w:name="_Toc7401"/>
      <w:bookmarkStart w:id="31" w:name="_Toc2740"/>
      <w:bookmarkStart w:id="32" w:name="_Toc26077"/>
      <w:r>
        <w:rPr>
          <w:rFonts w:hint="eastAsia" w:ascii="黑体" w:hAnsi="黑体" w:cs="黑体"/>
          <w:b w:val="0"/>
          <w:sz w:val="28"/>
          <w:szCs w:val="28"/>
        </w:rPr>
        <w:t>四、响应文件</w:t>
      </w:r>
      <w:bookmarkEnd w:id="25"/>
      <w:bookmarkEnd w:id="26"/>
      <w:bookmarkEnd w:id="27"/>
      <w:bookmarkEnd w:id="28"/>
      <w:r>
        <w:rPr>
          <w:rFonts w:hint="eastAsia" w:ascii="黑体" w:hAnsi="黑体" w:cs="黑体"/>
          <w:b w:val="0"/>
          <w:sz w:val="28"/>
          <w:szCs w:val="28"/>
        </w:rPr>
        <w:t>提交</w:t>
      </w:r>
      <w:bookmarkEnd w:id="29"/>
      <w:bookmarkEnd w:id="30"/>
      <w:bookmarkEnd w:id="31"/>
      <w:bookmarkEnd w:id="32"/>
    </w:p>
    <w:p w14:paraId="687331EC">
      <w:pPr>
        <w:spacing w:line="560" w:lineRule="exact"/>
        <w:ind w:firstLine="560" w:firstLineChars="200"/>
        <w:rPr>
          <w:rFonts w:ascii="仿宋" w:hAnsi="仿宋" w:eastAsia="仿宋" w:cs="仿宋"/>
          <w:bCs/>
          <w:sz w:val="28"/>
          <w:szCs w:val="28"/>
        </w:rPr>
      </w:pPr>
      <w:r>
        <w:rPr>
          <w:rFonts w:hint="eastAsia" w:ascii="仿宋" w:hAnsi="仿宋" w:eastAsia="仿宋" w:cs="仿宋"/>
          <w:sz w:val="28"/>
          <w:szCs w:val="28"/>
        </w:rPr>
        <w:t>1、截止时间：</w:t>
      </w:r>
      <w:r>
        <w:rPr>
          <w:rFonts w:hint="eastAsia" w:ascii="仿宋" w:hAnsi="仿宋" w:eastAsia="仿宋" w:cs="仿宋"/>
          <w:bCs/>
          <w:sz w:val="28"/>
          <w:szCs w:val="28"/>
          <w:u w:val="single"/>
        </w:rPr>
        <w:t>2026</w:t>
      </w:r>
      <w:r>
        <w:rPr>
          <w:rFonts w:hint="eastAsia" w:ascii="仿宋" w:hAnsi="仿宋" w:eastAsia="仿宋" w:cs="仿宋"/>
          <w:bCs/>
          <w:sz w:val="28"/>
          <w:szCs w:val="28"/>
        </w:rPr>
        <w:t>年</w:t>
      </w:r>
      <w:r>
        <w:rPr>
          <w:rFonts w:hint="eastAsia" w:ascii="仿宋" w:hAnsi="仿宋" w:eastAsia="仿宋" w:cs="仿宋"/>
          <w:bCs/>
          <w:sz w:val="28"/>
          <w:szCs w:val="28"/>
          <w:u w:val="single"/>
        </w:rPr>
        <w:t>10</w:t>
      </w:r>
      <w:r>
        <w:rPr>
          <w:rFonts w:hint="eastAsia" w:ascii="仿宋" w:hAnsi="仿宋" w:eastAsia="仿宋" w:cs="仿宋"/>
          <w:bCs/>
          <w:sz w:val="28"/>
          <w:szCs w:val="28"/>
        </w:rPr>
        <w:t>月</w:t>
      </w:r>
      <w:r>
        <w:rPr>
          <w:rFonts w:hint="eastAsia" w:ascii="仿宋" w:hAnsi="仿宋" w:eastAsia="仿宋" w:cs="仿宋"/>
          <w:bCs/>
          <w:sz w:val="28"/>
          <w:szCs w:val="28"/>
          <w:u w:val="single"/>
        </w:rPr>
        <w:t>24</w:t>
      </w:r>
      <w:r>
        <w:rPr>
          <w:rFonts w:hint="eastAsia" w:ascii="仿宋" w:hAnsi="仿宋" w:eastAsia="仿宋" w:cs="仿宋"/>
          <w:bCs/>
          <w:sz w:val="28"/>
          <w:szCs w:val="28"/>
        </w:rPr>
        <w:t>日</w:t>
      </w:r>
      <w:r>
        <w:rPr>
          <w:rFonts w:hint="eastAsia" w:ascii="仿宋" w:hAnsi="仿宋" w:eastAsia="仿宋" w:cs="仿宋"/>
          <w:bCs/>
          <w:sz w:val="28"/>
          <w:szCs w:val="28"/>
          <w:u w:val="single"/>
        </w:rPr>
        <w:t>15</w:t>
      </w:r>
      <w:r>
        <w:rPr>
          <w:rFonts w:hint="eastAsia" w:ascii="仿宋" w:hAnsi="仿宋" w:eastAsia="仿宋" w:cs="仿宋"/>
          <w:bCs/>
          <w:sz w:val="28"/>
          <w:szCs w:val="28"/>
        </w:rPr>
        <w:t>点</w:t>
      </w:r>
      <w:r>
        <w:rPr>
          <w:rFonts w:hint="eastAsia" w:ascii="仿宋" w:hAnsi="仿宋" w:eastAsia="仿宋" w:cs="仿宋"/>
          <w:bCs/>
          <w:sz w:val="28"/>
          <w:szCs w:val="28"/>
          <w:u w:val="single"/>
        </w:rPr>
        <w:t>00</w:t>
      </w:r>
      <w:r>
        <w:rPr>
          <w:rFonts w:hint="eastAsia" w:ascii="仿宋" w:hAnsi="仿宋" w:eastAsia="仿宋" w:cs="仿宋"/>
          <w:bCs/>
          <w:sz w:val="28"/>
          <w:szCs w:val="28"/>
        </w:rPr>
        <w:t>分（北京时间）</w:t>
      </w:r>
    </w:p>
    <w:p w14:paraId="49A7E979">
      <w:pPr>
        <w:widowControl/>
        <w:spacing w:line="560" w:lineRule="exact"/>
        <w:ind w:firstLine="560" w:firstLineChars="200"/>
        <w:rPr>
          <w:rFonts w:ascii="仿宋" w:hAnsi="仿宋" w:eastAsia="仿宋" w:cs="仿宋"/>
          <w:sz w:val="28"/>
          <w:szCs w:val="28"/>
        </w:rPr>
      </w:pPr>
      <w:r>
        <w:rPr>
          <w:rFonts w:hint="eastAsia" w:ascii="仿宋" w:hAnsi="仿宋" w:eastAsia="仿宋" w:cs="仿宋"/>
          <w:kern w:val="0"/>
          <w:sz w:val="28"/>
          <w:szCs w:val="28"/>
        </w:rPr>
        <w:t>2、提交方式：响应文件应在提交截止时间前现场递交。</w:t>
      </w:r>
    </w:p>
    <w:p w14:paraId="107B6AB8">
      <w:pPr>
        <w:pStyle w:val="3"/>
        <w:spacing w:before="0" w:after="0" w:line="560" w:lineRule="exact"/>
        <w:rPr>
          <w:rFonts w:ascii="黑体" w:hAnsi="黑体" w:cs="黑体"/>
          <w:b w:val="0"/>
          <w:sz w:val="28"/>
          <w:szCs w:val="28"/>
        </w:rPr>
      </w:pPr>
      <w:bookmarkStart w:id="33" w:name="_Toc35393802"/>
      <w:bookmarkStart w:id="34" w:name="_Toc28359016"/>
      <w:bookmarkStart w:id="35" w:name="_Toc35393633"/>
      <w:bookmarkStart w:id="36" w:name="_Toc28359093"/>
      <w:bookmarkStart w:id="37" w:name="_Toc11900"/>
      <w:bookmarkStart w:id="38" w:name="_Toc26903"/>
      <w:bookmarkStart w:id="39" w:name="_Toc1586"/>
      <w:bookmarkStart w:id="40" w:name="_Toc18791"/>
      <w:r>
        <w:rPr>
          <w:rFonts w:hint="eastAsia" w:ascii="黑体" w:hAnsi="黑体" w:cs="黑体"/>
          <w:b w:val="0"/>
          <w:sz w:val="28"/>
          <w:szCs w:val="28"/>
        </w:rPr>
        <w:t>五、</w:t>
      </w:r>
      <w:bookmarkEnd w:id="33"/>
      <w:bookmarkEnd w:id="34"/>
      <w:bookmarkEnd w:id="35"/>
      <w:bookmarkEnd w:id="36"/>
      <w:r>
        <w:rPr>
          <w:rFonts w:hint="eastAsia" w:ascii="黑体" w:hAnsi="黑体" w:cs="黑体"/>
          <w:b w:val="0"/>
          <w:sz w:val="28"/>
          <w:szCs w:val="28"/>
        </w:rPr>
        <w:t>响应文件开启</w:t>
      </w:r>
      <w:bookmarkEnd w:id="37"/>
      <w:bookmarkEnd w:id="38"/>
      <w:bookmarkEnd w:id="39"/>
      <w:bookmarkEnd w:id="40"/>
    </w:p>
    <w:p w14:paraId="5CBBF6F9">
      <w:pPr>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1、时间：</w:t>
      </w:r>
      <w:r>
        <w:rPr>
          <w:rFonts w:hint="eastAsia" w:ascii="仿宋" w:hAnsi="仿宋" w:eastAsia="仿宋" w:cs="仿宋"/>
          <w:bCs/>
          <w:sz w:val="28"/>
          <w:szCs w:val="28"/>
          <w:u w:val="single"/>
        </w:rPr>
        <w:t>2026</w:t>
      </w:r>
      <w:r>
        <w:rPr>
          <w:rFonts w:hint="eastAsia" w:ascii="仿宋" w:hAnsi="仿宋" w:eastAsia="仿宋" w:cs="仿宋"/>
          <w:bCs/>
          <w:sz w:val="28"/>
          <w:szCs w:val="28"/>
        </w:rPr>
        <w:t>年</w:t>
      </w:r>
      <w:r>
        <w:rPr>
          <w:rFonts w:hint="eastAsia" w:ascii="仿宋" w:hAnsi="仿宋" w:eastAsia="仿宋" w:cs="仿宋"/>
          <w:bCs/>
          <w:sz w:val="28"/>
          <w:szCs w:val="28"/>
          <w:u w:val="single"/>
        </w:rPr>
        <w:t>10</w:t>
      </w:r>
      <w:r>
        <w:rPr>
          <w:rFonts w:hint="eastAsia" w:ascii="仿宋" w:hAnsi="仿宋" w:eastAsia="仿宋" w:cs="仿宋"/>
          <w:bCs/>
          <w:sz w:val="28"/>
          <w:szCs w:val="28"/>
        </w:rPr>
        <w:t>月</w:t>
      </w:r>
      <w:r>
        <w:rPr>
          <w:rFonts w:hint="eastAsia" w:ascii="仿宋" w:hAnsi="仿宋" w:eastAsia="仿宋" w:cs="仿宋"/>
          <w:bCs/>
          <w:sz w:val="28"/>
          <w:szCs w:val="28"/>
          <w:u w:val="single"/>
        </w:rPr>
        <w:t>24</w:t>
      </w:r>
      <w:r>
        <w:rPr>
          <w:rFonts w:hint="eastAsia" w:ascii="仿宋" w:hAnsi="仿宋" w:eastAsia="仿宋" w:cs="仿宋"/>
          <w:bCs/>
          <w:sz w:val="28"/>
          <w:szCs w:val="28"/>
        </w:rPr>
        <w:t>日</w:t>
      </w:r>
      <w:r>
        <w:rPr>
          <w:rFonts w:hint="eastAsia" w:ascii="仿宋" w:hAnsi="仿宋" w:eastAsia="仿宋" w:cs="仿宋"/>
          <w:bCs/>
          <w:sz w:val="28"/>
          <w:szCs w:val="28"/>
          <w:u w:val="single"/>
        </w:rPr>
        <w:t>15</w:t>
      </w:r>
      <w:r>
        <w:rPr>
          <w:rFonts w:hint="eastAsia" w:ascii="仿宋" w:hAnsi="仿宋" w:eastAsia="仿宋" w:cs="仿宋"/>
          <w:bCs/>
          <w:sz w:val="28"/>
          <w:szCs w:val="28"/>
        </w:rPr>
        <w:t>点</w:t>
      </w:r>
      <w:r>
        <w:rPr>
          <w:rFonts w:hint="eastAsia" w:ascii="仿宋" w:hAnsi="仿宋" w:eastAsia="仿宋" w:cs="仿宋"/>
          <w:bCs/>
          <w:sz w:val="28"/>
          <w:szCs w:val="28"/>
          <w:u w:val="single"/>
        </w:rPr>
        <w:t>00</w:t>
      </w:r>
      <w:r>
        <w:rPr>
          <w:rFonts w:hint="eastAsia" w:ascii="仿宋" w:hAnsi="仿宋" w:eastAsia="仿宋" w:cs="仿宋"/>
          <w:bCs/>
          <w:sz w:val="28"/>
          <w:szCs w:val="28"/>
        </w:rPr>
        <w:t>分</w:t>
      </w:r>
      <w:r>
        <w:rPr>
          <w:rFonts w:hint="eastAsia" w:ascii="仿宋" w:hAnsi="仿宋" w:eastAsia="仿宋" w:cs="仿宋"/>
          <w:sz w:val="28"/>
          <w:szCs w:val="28"/>
        </w:rPr>
        <w:t>（北京时间）</w:t>
      </w:r>
    </w:p>
    <w:p w14:paraId="4CFD5AA2">
      <w:pPr>
        <w:pStyle w:val="22"/>
        <w:spacing w:after="0" w:line="560" w:lineRule="exact"/>
        <w:ind w:firstLine="560" w:firstLineChars="200"/>
        <w:rPr>
          <w:rFonts w:ascii="仿宋" w:hAnsi="仿宋" w:eastAsia="仿宋" w:cs="仿宋"/>
          <w:sz w:val="28"/>
          <w:szCs w:val="28"/>
          <w:lang w:val="en-US"/>
        </w:rPr>
      </w:pPr>
      <w:r>
        <w:rPr>
          <w:rFonts w:hint="eastAsia" w:ascii="仿宋" w:hAnsi="仿宋" w:eastAsia="仿宋" w:cs="仿宋"/>
          <w:sz w:val="28"/>
          <w:szCs w:val="28"/>
        </w:rPr>
        <w:t>2、地点：六安市金安区东市街道长安南路620号城投大厦7楼（安徽省六投项目管理有限公司开标室）</w:t>
      </w:r>
      <w:r>
        <w:rPr>
          <w:rFonts w:hint="eastAsia" w:ascii="仿宋" w:hAnsi="仿宋" w:eastAsia="仿宋" w:cs="仿宋"/>
          <w:sz w:val="28"/>
          <w:szCs w:val="28"/>
          <w:lang w:val="en-US"/>
        </w:rPr>
        <w:t>。</w:t>
      </w:r>
    </w:p>
    <w:p w14:paraId="7E47982C">
      <w:pPr>
        <w:pStyle w:val="3"/>
        <w:spacing w:before="0" w:after="0" w:line="560" w:lineRule="exact"/>
        <w:rPr>
          <w:rFonts w:ascii="黑体" w:hAnsi="黑体" w:cs="黑体"/>
          <w:b w:val="0"/>
          <w:sz w:val="28"/>
          <w:szCs w:val="28"/>
        </w:rPr>
      </w:pPr>
      <w:bookmarkStart w:id="41" w:name="_Toc20464"/>
      <w:bookmarkStart w:id="42" w:name="_Toc35393803"/>
      <w:bookmarkStart w:id="43" w:name="_Toc35393634"/>
      <w:bookmarkStart w:id="44" w:name="_Toc6439"/>
      <w:bookmarkStart w:id="45" w:name="_Toc3084"/>
      <w:bookmarkStart w:id="46" w:name="_Toc29465"/>
      <w:bookmarkStart w:id="47" w:name="_Toc28359017"/>
      <w:bookmarkStart w:id="48" w:name="_Toc28359094"/>
      <w:r>
        <w:rPr>
          <w:rFonts w:hint="eastAsia" w:ascii="黑体" w:hAnsi="黑体" w:cs="黑体"/>
          <w:b w:val="0"/>
          <w:sz w:val="28"/>
          <w:szCs w:val="28"/>
        </w:rPr>
        <w:t>六、公告期限</w:t>
      </w:r>
      <w:bookmarkEnd w:id="41"/>
      <w:bookmarkEnd w:id="42"/>
      <w:bookmarkEnd w:id="43"/>
      <w:bookmarkEnd w:id="44"/>
      <w:bookmarkEnd w:id="45"/>
      <w:bookmarkEnd w:id="46"/>
      <w:bookmarkEnd w:id="47"/>
      <w:bookmarkEnd w:id="48"/>
    </w:p>
    <w:p w14:paraId="5E32DF4E">
      <w:pPr>
        <w:spacing w:line="5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自本公告发布之日起3个工作日。</w:t>
      </w:r>
    </w:p>
    <w:p w14:paraId="6B455126">
      <w:pPr>
        <w:spacing w:line="560" w:lineRule="exact"/>
        <w:rPr>
          <w:rFonts w:ascii="黑体" w:hAnsi="黑体" w:eastAsia="黑体" w:cs="黑体"/>
          <w:sz w:val="28"/>
          <w:szCs w:val="28"/>
        </w:rPr>
      </w:pPr>
      <w:r>
        <w:rPr>
          <w:rFonts w:hint="eastAsia" w:ascii="黑体" w:hAnsi="黑体" w:eastAsia="黑体" w:cs="黑体"/>
          <w:sz w:val="28"/>
          <w:szCs w:val="28"/>
        </w:rPr>
        <w:t>七、</w:t>
      </w:r>
      <w:bookmarkStart w:id="49" w:name="_Toc35393635"/>
      <w:bookmarkStart w:id="50" w:name="_Toc35393804"/>
      <w:r>
        <w:rPr>
          <w:rFonts w:hint="eastAsia" w:ascii="黑体" w:hAnsi="黑体" w:eastAsia="黑体" w:cs="黑体"/>
          <w:sz w:val="28"/>
          <w:szCs w:val="28"/>
        </w:rPr>
        <w:t>其他事宜</w:t>
      </w:r>
      <w:bookmarkEnd w:id="49"/>
      <w:bookmarkEnd w:id="50"/>
      <w:bookmarkStart w:id="51" w:name="_Toc28359018"/>
      <w:bookmarkStart w:id="52" w:name="_Toc35393805"/>
      <w:bookmarkStart w:id="53" w:name="_Toc35393636"/>
      <w:bookmarkStart w:id="54" w:name="_Toc28359095"/>
    </w:p>
    <w:bookmarkEnd w:id="51"/>
    <w:bookmarkEnd w:id="52"/>
    <w:bookmarkEnd w:id="53"/>
    <w:bookmarkEnd w:id="54"/>
    <w:p w14:paraId="7620D29D">
      <w:pPr>
        <w:widowControl/>
        <w:shd w:val="clear" w:color="auto" w:fill="FFFFFF"/>
        <w:spacing w:line="560" w:lineRule="exact"/>
        <w:ind w:firstLine="560" w:firstLineChars="200"/>
        <w:rPr>
          <w:rFonts w:ascii="仿宋" w:hAnsi="仿宋" w:eastAsia="仿宋" w:cs="仿宋"/>
          <w:bCs/>
          <w:kern w:val="0"/>
          <w:sz w:val="28"/>
          <w:szCs w:val="28"/>
        </w:rPr>
      </w:pPr>
      <w:r>
        <w:rPr>
          <w:rFonts w:hint="eastAsia" w:ascii="仿宋" w:hAnsi="仿宋" w:eastAsia="仿宋" w:cs="仿宋"/>
          <w:bCs/>
          <w:kern w:val="0"/>
          <w:sz w:val="28"/>
          <w:szCs w:val="28"/>
        </w:rPr>
        <w:t>本项目采用现场开标方式，开标时供应商需到达开标现场，现场递交纸质版响应文件。</w:t>
      </w:r>
    </w:p>
    <w:p w14:paraId="379D92A6">
      <w:pPr>
        <w:pStyle w:val="3"/>
        <w:widowControl/>
        <w:spacing w:before="0" w:after="0" w:line="560" w:lineRule="exact"/>
        <w:rPr>
          <w:rFonts w:ascii="黑体" w:hAnsi="黑体" w:cs="黑体"/>
          <w:b w:val="0"/>
          <w:bCs w:val="0"/>
          <w:kern w:val="0"/>
          <w:sz w:val="28"/>
          <w:szCs w:val="28"/>
        </w:rPr>
      </w:pPr>
      <w:bookmarkStart w:id="55" w:name="_Toc22370"/>
      <w:bookmarkStart w:id="56" w:name="_Toc21041"/>
      <w:bookmarkStart w:id="57" w:name="_Toc26145"/>
      <w:bookmarkStart w:id="58" w:name="_Toc19777"/>
      <w:r>
        <w:rPr>
          <w:rFonts w:hint="eastAsia" w:ascii="黑体" w:hAnsi="黑体" w:cs="黑体"/>
          <w:b w:val="0"/>
          <w:bCs w:val="0"/>
          <w:kern w:val="0"/>
          <w:sz w:val="28"/>
          <w:szCs w:val="28"/>
        </w:rPr>
        <w:t>八、对本次发包提出询问，请按以下方式联系。</w:t>
      </w:r>
      <w:bookmarkEnd w:id="55"/>
      <w:bookmarkEnd w:id="56"/>
      <w:bookmarkEnd w:id="57"/>
      <w:bookmarkEnd w:id="58"/>
    </w:p>
    <w:p w14:paraId="3B204C66">
      <w:pPr>
        <w:widowControl/>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1.发包人信息</w:t>
      </w:r>
    </w:p>
    <w:p w14:paraId="3A848B66">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名  称：六安市教育体育局</w:t>
      </w:r>
    </w:p>
    <w:p w14:paraId="0FC02959">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地  址：六安市教育体育局第二办公区（六安一中东校区立德楼）</w:t>
      </w:r>
    </w:p>
    <w:p w14:paraId="2B2AF677">
      <w:pPr>
        <w:spacing w:line="560" w:lineRule="exact"/>
        <w:ind w:firstLine="560" w:firstLineChars="200"/>
        <w:rPr>
          <w:rFonts w:ascii="仿宋" w:hAnsi="仿宋" w:eastAsia="仿宋" w:cs="仿宋"/>
          <w:bCs/>
          <w:sz w:val="28"/>
          <w:szCs w:val="28"/>
          <w:u w:val="single"/>
        </w:rPr>
      </w:pPr>
      <w:r>
        <w:rPr>
          <w:rFonts w:hint="eastAsia" w:ascii="仿宋" w:hAnsi="仿宋" w:eastAsia="仿宋" w:cs="仿宋"/>
          <w:bCs/>
          <w:sz w:val="28"/>
          <w:szCs w:val="28"/>
        </w:rPr>
        <w:t>联系方式：0564-3341991</w:t>
      </w:r>
    </w:p>
    <w:p w14:paraId="1F5328D6">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2.代理机构信息</w:t>
      </w:r>
    </w:p>
    <w:p w14:paraId="6373124E">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名  称：安徽省六投项目管理有限公司</w:t>
      </w:r>
    </w:p>
    <w:p w14:paraId="4AB583AE">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地  址：六安市金安区东市街道长安南路620号城投大厦7楼</w:t>
      </w:r>
    </w:p>
    <w:p w14:paraId="351804F8">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联系方式：0564-3270017</w:t>
      </w:r>
    </w:p>
    <w:p w14:paraId="08E1EA46">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3.项目联系方式</w:t>
      </w:r>
    </w:p>
    <w:p w14:paraId="74A968CE">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项目联系人：崔工</w:t>
      </w:r>
    </w:p>
    <w:p w14:paraId="226FCBD0">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电  话：0564-3270017</w:t>
      </w:r>
    </w:p>
    <w:p w14:paraId="0B28F1A0">
      <w:pPr>
        <w:spacing w:line="560" w:lineRule="exact"/>
        <w:rPr>
          <w:rFonts w:ascii="仿宋" w:hAnsi="仿宋" w:eastAsia="仿宋" w:cs="仿宋"/>
          <w:bCs/>
          <w:sz w:val="28"/>
          <w:szCs w:val="28"/>
        </w:rPr>
      </w:pPr>
    </w:p>
    <w:p w14:paraId="6A4097BA">
      <w:pPr>
        <w:spacing w:line="560" w:lineRule="exact"/>
        <w:jc w:val="right"/>
        <w:rPr>
          <w:rFonts w:ascii="仿宋" w:hAnsi="仿宋" w:eastAsia="仿宋" w:cs="仿宋"/>
          <w:bCs/>
          <w:sz w:val="28"/>
          <w:szCs w:val="28"/>
        </w:rPr>
      </w:pPr>
      <w:r>
        <w:rPr>
          <w:rFonts w:hint="eastAsia" w:ascii="仿宋" w:hAnsi="仿宋" w:eastAsia="仿宋" w:cs="仿宋"/>
          <w:bCs/>
          <w:sz w:val="28"/>
          <w:szCs w:val="28"/>
        </w:rPr>
        <w:t>2026年10月19日</w:t>
      </w:r>
    </w:p>
    <w:p w14:paraId="5317300F">
      <w:pPr>
        <w:spacing w:line="360" w:lineRule="auto"/>
        <w:rPr>
          <w:rFonts w:ascii="宋体" w:hAnsi="宋体"/>
          <w:sz w:val="24"/>
          <w:szCs w:val="18"/>
        </w:rPr>
      </w:pPr>
      <w:r>
        <w:rPr>
          <w:rFonts w:ascii="宋体" w:hAnsi="宋体"/>
          <w:sz w:val="24"/>
          <w:szCs w:val="18"/>
        </w:rPr>
        <w:br w:type="page"/>
      </w:r>
    </w:p>
    <w:p w14:paraId="6D4EE1AA">
      <w:pPr>
        <w:spacing w:line="360" w:lineRule="auto"/>
        <w:jc w:val="center"/>
        <w:outlineLvl w:val="0"/>
        <w:rPr>
          <w:rFonts w:ascii="宋体" w:hAnsi="宋体" w:cs="宋体"/>
          <w:b/>
          <w:sz w:val="28"/>
        </w:rPr>
      </w:pPr>
      <w:bookmarkStart w:id="59" w:name="_Toc14251"/>
      <w:r>
        <w:rPr>
          <w:rFonts w:hint="eastAsia" w:ascii="宋体" w:hAnsi="宋体" w:cs="宋体"/>
          <w:b/>
          <w:sz w:val="28"/>
        </w:rPr>
        <w:t>第二章  供应商须知</w:t>
      </w:r>
      <w:bookmarkEnd w:id="59"/>
    </w:p>
    <w:p w14:paraId="44874005">
      <w:pPr>
        <w:spacing w:line="360" w:lineRule="auto"/>
        <w:jc w:val="center"/>
        <w:outlineLvl w:val="1"/>
        <w:rPr>
          <w:rFonts w:ascii="宋体" w:hAnsi="宋体" w:cs="宋体"/>
          <w:b/>
          <w:sz w:val="24"/>
        </w:rPr>
      </w:pPr>
      <w:bookmarkStart w:id="60" w:name="_Toc25192"/>
      <w:bookmarkStart w:id="61" w:name="_Toc11709"/>
      <w:bookmarkStart w:id="62" w:name="_Toc27131"/>
      <w:bookmarkStart w:id="63" w:name="_Toc11383"/>
      <w:r>
        <w:rPr>
          <w:rFonts w:hint="eastAsia" w:ascii="宋体" w:hAnsi="宋体" w:cs="宋体"/>
          <w:b/>
          <w:sz w:val="24"/>
        </w:rPr>
        <w:t>一、供应商须知前附表</w:t>
      </w:r>
      <w:bookmarkEnd w:id="60"/>
      <w:bookmarkEnd w:id="61"/>
      <w:bookmarkEnd w:id="62"/>
      <w:bookmarkEnd w:id="63"/>
    </w:p>
    <w:p w14:paraId="390599E6">
      <w:pPr>
        <w:spacing w:line="360" w:lineRule="auto"/>
        <w:ind w:firstLine="435"/>
        <w:rPr>
          <w:rFonts w:ascii="宋体" w:hAnsi="宋体" w:cs="宋体"/>
          <w:sz w:val="24"/>
          <w:szCs w:val="18"/>
        </w:rPr>
      </w:pPr>
      <w:r>
        <w:rPr>
          <w:rFonts w:hint="eastAsia" w:ascii="宋体" w:hAnsi="宋体" w:cs="宋体"/>
          <w:b/>
          <w:bCs/>
          <w:sz w:val="24"/>
          <w:szCs w:val="18"/>
        </w:rPr>
        <w:t>注：</w:t>
      </w:r>
      <w:r>
        <w:rPr>
          <w:rFonts w:hint="eastAsia" w:ascii="宋体" w:hAnsi="宋体" w:cs="宋体"/>
          <w:sz w:val="24"/>
          <w:szCs w:val="18"/>
        </w:rPr>
        <w:t>本表是本项目的具体要求，是对供应商须知的具体补充和修改，如有不一致，以本表为准。</w:t>
      </w:r>
    </w:p>
    <w:tbl>
      <w:tblPr>
        <w:tblStyle w:val="24"/>
        <w:tblW w:w="55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913"/>
        <w:gridCol w:w="1373"/>
        <w:gridCol w:w="7207"/>
      </w:tblGrid>
      <w:tr w14:paraId="19C8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60F62B58">
            <w:pPr>
              <w:pStyle w:val="45"/>
              <w:widowControl w:val="0"/>
              <w:spacing w:before="0" w:beforeAutospacing="0" w:after="0" w:afterAutospacing="0" w:line="400" w:lineRule="exact"/>
              <w:rPr>
                <w:rFonts w:ascii="宋体" w:hAnsi="宋体" w:cs="宋体"/>
                <w:bCs w:val="0"/>
                <w:kern w:val="2"/>
                <w:sz w:val="24"/>
                <w:szCs w:val="20"/>
              </w:rPr>
            </w:pPr>
            <w:r>
              <w:rPr>
                <w:rFonts w:hint="eastAsia" w:ascii="宋体" w:hAnsi="宋体" w:cs="宋体"/>
                <w:bCs w:val="0"/>
                <w:kern w:val="2"/>
                <w:sz w:val="24"/>
                <w:szCs w:val="20"/>
              </w:rPr>
              <w:t>条款号</w:t>
            </w:r>
          </w:p>
        </w:tc>
        <w:tc>
          <w:tcPr>
            <w:tcW w:w="1363" w:type="dxa"/>
            <w:vAlign w:val="center"/>
          </w:tcPr>
          <w:p w14:paraId="22A70015">
            <w:pPr>
              <w:pStyle w:val="45"/>
              <w:widowControl w:val="0"/>
              <w:spacing w:before="0" w:beforeAutospacing="0" w:after="0" w:afterAutospacing="0" w:line="400" w:lineRule="exact"/>
              <w:rPr>
                <w:rFonts w:ascii="宋体" w:hAnsi="宋体" w:cs="宋体"/>
                <w:bCs w:val="0"/>
                <w:kern w:val="2"/>
                <w:sz w:val="24"/>
                <w:szCs w:val="20"/>
              </w:rPr>
            </w:pPr>
            <w:r>
              <w:rPr>
                <w:rFonts w:hint="eastAsia" w:ascii="宋体" w:hAnsi="宋体" w:cs="宋体"/>
                <w:bCs w:val="0"/>
                <w:kern w:val="2"/>
                <w:sz w:val="24"/>
                <w:szCs w:val="20"/>
              </w:rPr>
              <w:t>条款名称</w:t>
            </w:r>
          </w:p>
        </w:tc>
        <w:tc>
          <w:tcPr>
            <w:tcW w:w="7156" w:type="dxa"/>
            <w:vAlign w:val="center"/>
          </w:tcPr>
          <w:p w14:paraId="284A94CE">
            <w:pPr>
              <w:pStyle w:val="45"/>
              <w:widowControl w:val="0"/>
              <w:spacing w:before="0" w:beforeAutospacing="0" w:after="0" w:afterAutospacing="0" w:line="400" w:lineRule="exact"/>
              <w:rPr>
                <w:rFonts w:ascii="宋体" w:hAnsi="宋体" w:cs="宋体"/>
                <w:bCs w:val="0"/>
                <w:kern w:val="2"/>
                <w:sz w:val="24"/>
                <w:szCs w:val="20"/>
              </w:rPr>
            </w:pPr>
            <w:r>
              <w:rPr>
                <w:rFonts w:hint="eastAsia" w:ascii="宋体" w:hAnsi="宋体" w:cs="宋体"/>
                <w:bCs w:val="0"/>
                <w:kern w:val="2"/>
                <w:sz w:val="24"/>
                <w:szCs w:val="20"/>
              </w:rPr>
              <w:t>内容、说明与要求</w:t>
            </w:r>
          </w:p>
        </w:tc>
      </w:tr>
      <w:tr w14:paraId="33C8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34B79D95">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5.2</w:t>
            </w:r>
          </w:p>
        </w:tc>
        <w:tc>
          <w:tcPr>
            <w:tcW w:w="1363" w:type="dxa"/>
            <w:vAlign w:val="center"/>
          </w:tcPr>
          <w:p w14:paraId="1890076B">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kern w:val="2"/>
                <w:sz w:val="24"/>
                <w:szCs w:val="22"/>
              </w:rPr>
              <w:t>现场考察或标前答疑会</w:t>
            </w:r>
          </w:p>
        </w:tc>
        <w:tc>
          <w:tcPr>
            <w:tcW w:w="7156" w:type="dxa"/>
            <w:vAlign w:val="center"/>
          </w:tcPr>
          <w:p w14:paraId="7B4D7FE8">
            <w:pPr>
              <w:spacing w:line="400" w:lineRule="exact"/>
              <w:rPr>
                <w:rFonts w:ascii="宋体" w:hAnsi="宋体" w:cs="宋体"/>
                <w:bCs/>
                <w:sz w:val="24"/>
              </w:rPr>
            </w:pPr>
            <w:r>
              <w:rPr>
                <w:rFonts w:hint="eastAsia" w:ascii="宋体" w:hAnsi="宋体" w:cs="宋体"/>
                <w:bCs/>
                <w:sz w:val="24"/>
                <w:szCs w:val="24"/>
              </w:rPr>
              <w:t>☑</w:t>
            </w:r>
            <w:r>
              <w:rPr>
                <w:rFonts w:hint="eastAsia" w:ascii="宋体" w:hAnsi="宋体" w:cs="宋体"/>
                <w:sz w:val="24"/>
              </w:rPr>
              <w:t>不组织或不召开</w:t>
            </w:r>
          </w:p>
          <w:p w14:paraId="19C20BBD">
            <w:pPr>
              <w:spacing w:line="400" w:lineRule="exact"/>
              <w:rPr>
                <w:rFonts w:ascii="宋体" w:hAnsi="宋体" w:cs="宋体"/>
                <w:bCs/>
                <w:sz w:val="24"/>
              </w:rPr>
            </w:pPr>
            <w:r>
              <w:rPr>
                <w:rFonts w:hint="eastAsia" w:ascii="宋体" w:hAnsi="宋体" w:cs="宋体"/>
                <w:sz w:val="24"/>
              </w:rPr>
              <w:t>□</w:t>
            </w:r>
            <w:r>
              <w:rPr>
                <w:rFonts w:hint="eastAsia" w:ascii="宋体" w:hAnsi="宋体" w:cs="宋体"/>
                <w:bCs/>
                <w:sz w:val="24"/>
              </w:rPr>
              <w:t>统一组织</w:t>
            </w:r>
          </w:p>
          <w:p w14:paraId="4EAEEA8A">
            <w:pPr>
              <w:spacing w:line="400" w:lineRule="exact"/>
              <w:rPr>
                <w:rFonts w:ascii="宋体" w:hAnsi="宋体" w:cs="宋体"/>
                <w:bCs/>
                <w:sz w:val="24"/>
                <w:u w:val="single"/>
              </w:rPr>
            </w:pPr>
            <w:r>
              <w:rPr>
                <w:rFonts w:hint="eastAsia" w:ascii="宋体" w:hAnsi="宋体" w:cs="宋体"/>
                <w:bCs/>
                <w:sz w:val="24"/>
              </w:rPr>
              <w:t>时间：</w:t>
            </w:r>
            <w:r>
              <w:rPr>
                <w:rFonts w:hint="eastAsia" w:ascii="宋体" w:hAnsi="宋体" w:cs="宋体"/>
                <w:bCs/>
                <w:sz w:val="24"/>
                <w:u w:val="single"/>
              </w:rPr>
              <w:t>/</w:t>
            </w:r>
            <w:r>
              <w:rPr>
                <w:rFonts w:hint="eastAsia" w:ascii="宋体" w:hAnsi="宋体" w:cs="宋体"/>
                <w:bCs/>
                <w:sz w:val="24"/>
              </w:rPr>
              <w:t>年</w:t>
            </w:r>
            <w:r>
              <w:rPr>
                <w:rFonts w:hint="eastAsia" w:ascii="宋体" w:hAnsi="宋体" w:cs="宋体"/>
                <w:bCs/>
                <w:sz w:val="24"/>
                <w:u w:val="single"/>
              </w:rPr>
              <w:t>/</w:t>
            </w:r>
            <w:r>
              <w:rPr>
                <w:rFonts w:hint="eastAsia" w:ascii="宋体" w:hAnsi="宋体" w:cs="宋体"/>
                <w:bCs/>
                <w:sz w:val="24"/>
              </w:rPr>
              <w:t>月</w:t>
            </w:r>
            <w:r>
              <w:rPr>
                <w:rFonts w:hint="eastAsia" w:ascii="宋体" w:hAnsi="宋体" w:cs="宋体"/>
                <w:bCs/>
                <w:sz w:val="24"/>
                <w:u w:val="single"/>
              </w:rPr>
              <w:t>/</w:t>
            </w:r>
            <w:r>
              <w:rPr>
                <w:rFonts w:hint="eastAsia" w:ascii="宋体" w:hAnsi="宋体" w:cs="宋体"/>
                <w:bCs/>
                <w:sz w:val="24"/>
              </w:rPr>
              <w:t>日</w:t>
            </w:r>
            <w:r>
              <w:rPr>
                <w:rFonts w:hint="eastAsia" w:ascii="宋体" w:hAnsi="宋体" w:cs="宋体"/>
                <w:bCs/>
                <w:sz w:val="24"/>
                <w:u w:val="single"/>
              </w:rPr>
              <w:t>/</w:t>
            </w:r>
            <w:r>
              <w:rPr>
                <w:rFonts w:hint="eastAsia" w:ascii="宋体" w:hAnsi="宋体" w:cs="宋体"/>
                <w:bCs/>
                <w:sz w:val="24"/>
              </w:rPr>
              <w:t>时</w:t>
            </w:r>
            <w:r>
              <w:rPr>
                <w:rFonts w:hint="eastAsia" w:ascii="宋体" w:hAnsi="宋体" w:cs="宋体"/>
                <w:bCs/>
                <w:sz w:val="24"/>
                <w:u w:val="single"/>
              </w:rPr>
              <w:t>/</w:t>
            </w:r>
            <w:r>
              <w:rPr>
                <w:rFonts w:hint="eastAsia" w:ascii="宋体" w:hAnsi="宋体" w:cs="宋体"/>
                <w:bCs/>
                <w:sz w:val="24"/>
              </w:rPr>
              <w:t>分</w:t>
            </w:r>
          </w:p>
          <w:p w14:paraId="5F2E0289">
            <w:pPr>
              <w:spacing w:line="400" w:lineRule="exact"/>
              <w:rPr>
                <w:rFonts w:ascii="宋体" w:hAnsi="宋体" w:cs="宋体"/>
                <w:bCs/>
                <w:sz w:val="24"/>
                <w:u w:val="single"/>
              </w:rPr>
            </w:pPr>
            <w:r>
              <w:rPr>
                <w:rFonts w:hint="eastAsia" w:ascii="宋体" w:hAnsi="宋体" w:cs="宋体"/>
                <w:bCs/>
                <w:sz w:val="24"/>
              </w:rPr>
              <w:t>地点：</w:t>
            </w:r>
            <w:r>
              <w:rPr>
                <w:rFonts w:hint="eastAsia" w:ascii="宋体" w:hAnsi="宋体" w:cs="宋体"/>
                <w:bCs/>
                <w:sz w:val="24"/>
                <w:u w:val="single"/>
              </w:rPr>
              <w:t>/</w:t>
            </w:r>
          </w:p>
          <w:p w14:paraId="4FA76A7E">
            <w:pPr>
              <w:spacing w:line="400" w:lineRule="exact"/>
              <w:rPr>
                <w:rFonts w:ascii="宋体" w:hAnsi="宋体" w:cs="宋体"/>
                <w:bCs/>
                <w:sz w:val="24"/>
                <w:u w:val="single"/>
              </w:rPr>
            </w:pPr>
            <w:r>
              <w:rPr>
                <w:rFonts w:hint="eastAsia" w:ascii="宋体" w:hAnsi="宋体" w:cs="宋体"/>
                <w:bCs/>
                <w:sz w:val="24"/>
              </w:rPr>
              <w:t>联系人及联系电话：</w:t>
            </w:r>
            <w:r>
              <w:rPr>
                <w:rFonts w:hint="eastAsia" w:ascii="宋体" w:hAnsi="宋体" w:cs="宋体"/>
                <w:bCs/>
                <w:sz w:val="24"/>
                <w:u w:val="single"/>
              </w:rPr>
              <w:t>/</w:t>
            </w:r>
          </w:p>
          <w:p w14:paraId="42E9F755">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Cs w:val="0"/>
                <w:sz w:val="24"/>
              </w:rPr>
              <w:t>注：</w:t>
            </w:r>
            <w:r>
              <w:rPr>
                <w:rFonts w:hint="eastAsia" w:ascii="宋体" w:hAnsi="宋体" w:cs="宋体"/>
                <w:b w:val="0"/>
                <w:sz w:val="24"/>
              </w:rPr>
              <w:t>如供应商未参加发包人统一组织的现场考察或发包人统一召开的标前答疑会，视同放弃现场考察或标前答疑会，由此引起的一切责任由供应商自行承担。</w:t>
            </w:r>
          </w:p>
        </w:tc>
      </w:tr>
      <w:tr w14:paraId="7DBF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355509D4">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6.1</w:t>
            </w:r>
          </w:p>
        </w:tc>
        <w:tc>
          <w:tcPr>
            <w:tcW w:w="1363" w:type="dxa"/>
            <w:vAlign w:val="center"/>
          </w:tcPr>
          <w:p w14:paraId="44AF147B">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询问方式</w:t>
            </w:r>
          </w:p>
        </w:tc>
        <w:tc>
          <w:tcPr>
            <w:tcW w:w="7156" w:type="dxa"/>
            <w:vAlign w:val="center"/>
          </w:tcPr>
          <w:p w14:paraId="6D32A55F">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供应商若对发包文件有关内容存在理解障碍，或认为发包文件表述有模糊不清之处，可通过书面形式向发包人（代理机构）提出，发包人（代理机构）收到供应商询问后将及时回复。该渠道仅接受关于项目的一般性疑问（非质疑），供应商提问时应当隐藏自身信息，直接提出针对项目的相关疑问即可。</w:t>
            </w:r>
          </w:p>
        </w:tc>
      </w:tr>
      <w:tr w14:paraId="36FA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1014" w:hRule="atLeast"/>
          <w:jc w:val="center"/>
        </w:trPr>
        <w:tc>
          <w:tcPr>
            <w:tcW w:w="907" w:type="dxa"/>
            <w:vAlign w:val="center"/>
          </w:tcPr>
          <w:p w14:paraId="22FC62C4">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7.1</w:t>
            </w:r>
          </w:p>
        </w:tc>
        <w:tc>
          <w:tcPr>
            <w:tcW w:w="1363" w:type="dxa"/>
            <w:vAlign w:val="center"/>
          </w:tcPr>
          <w:p w14:paraId="16C6CD9C">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包别划分</w:t>
            </w:r>
          </w:p>
        </w:tc>
        <w:tc>
          <w:tcPr>
            <w:tcW w:w="7156" w:type="dxa"/>
            <w:vAlign w:val="center"/>
          </w:tcPr>
          <w:p w14:paraId="45EF907E">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bCs w:val="0"/>
                <w:sz w:val="24"/>
                <w:szCs w:val="24"/>
              </w:rPr>
              <w:t>☑</w:t>
            </w:r>
            <w:r>
              <w:rPr>
                <w:rFonts w:hint="eastAsia" w:ascii="宋体" w:hAnsi="宋体" w:cs="宋体"/>
                <w:b w:val="0"/>
                <w:sz w:val="24"/>
              </w:rPr>
              <w:t>不分包     □分为个包</w:t>
            </w:r>
          </w:p>
          <w:p w14:paraId="58386ACA">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bCs w:val="0"/>
                <w:sz w:val="24"/>
                <w:szCs w:val="24"/>
              </w:rPr>
              <w:t>供应商参加多个包的成交包数规定：</w:t>
            </w:r>
          </w:p>
        </w:tc>
      </w:tr>
      <w:tr w14:paraId="5742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5" w:hRule="atLeast"/>
          <w:jc w:val="center"/>
        </w:trPr>
        <w:tc>
          <w:tcPr>
            <w:tcW w:w="907" w:type="dxa"/>
            <w:vAlign w:val="center"/>
          </w:tcPr>
          <w:p w14:paraId="7FB5400D">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10.1</w:t>
            </w:r>
          </w:p>
        </w:tc>
        <w:tc>
          <w:tcPr>
            <w:tcW w:w="1363" w:type="dxa"/>
            <w:vAlign w:val="center"/>
          </w:tcPr>
          <w:p w14:paraId="5964DC7A">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发包保证金</w:t>
            </w:r>
          </w:p>
        </w:tc>
        <w:tc>
          <w:tcPr>
            <w:tcW w:w="7156" w:type="dxa"/>
            <w:vAlign w:val="center"/>
          </w:tcPr>
          <w:p w14:paraId="42F6A80F">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不收取</w:t>
            </w:r>
          </w:p>
        </w:tc>
      </w:tr>
      <w:tr w14:paraId="1A78D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616" w:hRule="atLeast"/>
          <w:jc w:val="center"/>
        </w:trPr>
        <w:tc>
          <w:tcPr>
            <w:tcW w:w="907" w:type="dxa"/>
            <w:vAlign w:val="center"/>
          </w:tcPr>
          <w:p w14:paraId="54ACFDDB">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11.1</w:t>
            </w:r>
          </w:p>
        </w:tc>
        <w:tc>
          <w:tcPr>
            <w:tcW w:w="1363" w:type="dxa"/>
            <w:vAlign w:val="center"/>
          </w:tcPr>
          <w:p w14:paraId="4AACBA9E">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响应有效期</w:t>
            </w:r>
          </w:p>
        </w:tc>
        <w:tc>
          <w:tcPr>
            <w:tcW w:w="7156" w:type="dxa"/>
            <w:vAlign w:val="center"/>
          </w:tcPr>
          <w:p w14:paraId="5D8E19D4">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90个日历日</w:t>
            </w:r>
          </w:p>
        </w:tc>
      </w:tr>
      <w:tr w14:paraId="133A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911" w:hRule="atLeast"/>
          <w:jc w:val="center"/>
        </w:trPr>
        <w:tc>
          <w:tcPr>
            <w:tcW w:w="907" w:type="dxa"/>
            <w:vAlign w:val="center"/>
          </w:tcPr>
          <w:p w14:paraId="085BCAEB">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12.3</w:t>
            </w:r>
          </w:p>
        </w:tc>
        <w:tc>
          <w:tcPr>
            <w:tcW w:w="1363" w:type="dxa"/>
            <w:vAlign w:val="center"/>
          </w:tcPr>
          <w:p w14:paraId="2ADA4CBD">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响应文件递交要求</w:t>
            </w:r>
          </w:p>
        </w:tc>
        <w:tc>
          <w:tcPr>
            <w:tcW w:w="7156" w:type="dxa"/>
            <w:vAlign w:val="center"/>
          </w:tcPr>
          <w:p w14:paraId="4CADE1B4">
            <w:pPr>
              <w:pStyle w:val="7"/>
              <w:spacing w:line="400" w:lineRule="exact"/>
              <w:rPr>
                <w:rFonts w:ascii="宋体" w:hAnsi="宋体" w:eastAsia="宋体" w:cs="宋体"/>
                <w:kern w:val="0"/>
                <w:sz w:val="24"/>
                <w:szCs w:val="24"/>
              </w:rPr>
            </w:pPr>
            <w:r>
              <w:rPr>
                <w:rFonts w:hint="eastAsia" w:ascii="宋体" w:hAnsi="宋体" w:eastAsia="宋体" w:cs="宋体"/>
                <w:kern w:val="0"/>
                <w:sz w:val="24"/>
                <w:szCs w:val="24"/>
              </w:rPr>
              <w:t>（1）响应文件份数及要求：纸质版响应文件正本壹份、副本贰份</w:t>
            </w:r>
            <w:r>
              <w:rPr>
                <w:rFonts w:hint="eastAsia" w:ascii="宋体" w:hAnsi="宋体" w:eastAsia="宋体" w:cs="宋体"/>
                <w:sz w:val="24"/>
              </w:rPr>
              <w:t>，胶装成册、密封提交。</w:t>
            </w:r>
            <w:r>
              <w:rPr>
                <w:rFonts w:hint="eastAsia" w:ascii="宋体" w:hAnsi="宋体" w:eastAsia="宋体" w:cs="宋体"/>
                <w:kern w:val="0"/>
                <w:sz w:val="24"/>
                <w:szCs w:val="24"/>
              </w:rPr>
              <w:t>电子版响应文件壹份（加盖公章或电子章，U盘存储）。</w:t>
            </w:r>
          </w:p>
          <w:p w14:paraId="182F6232">
            <w:pPr>
              <w:pStyle w:val="7"/>
              <w:spacing w:line="400" w:lineRule="exact"/>
              <w:rPr>
                <w:rFonts w:ascii="宋体" w:hAnsi="宋体" w:eastAsia="宋体" w:cs="宋体"/>
                <w:kern w:val="0"/>
                <w:sz w:val="24"/>
                <w:szCs w:val="24"/>
              </w:rPr>
            </w:pPr>
            <w:r>
              <w:rPr>
                <w:rFonts w:hint="eastAsia" w:ascii="宋体" w:hAnsi="宋体" w:eastAsia="宋体" w:cs="宋体"/>
                <w:kern w:val="0"/>
                <w:sz w:val="24"/>
                <w:szCs w:val="24"/>
              </w:rPr>
              <w:t>（2）递交响应文件注意事项：纸质版响应文件必须在响应截止时间前现场签到并递交。</w:t>
            </w:r>
          </w:p>
        </w:tc>
      </w:tr>
      <w:tr w14:paraId="0DB3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8" w:hRule="atLeast"/>
          <w:jc w:val="center"/>
        </w:trPr>
        <w:tc>
          <w:tcPr>
            <w:tcW w:w="907" w:type="dxa"/>
            <w:vAlign w:val="center"/>
          </w:tcPr>
          <w:p w14:paraId="3AF89CFF">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13.1</w:t>
            </w:r>
          </w:p>
        </w:tc>
        <w:tc>
          <w:tcPr>
            <w:tcW w:w="1363" w:type="dxa"/>
            <w:vAlign w:val="center"/>
          </w:tcPr>
          <w:p w14:paraId="7C42622E">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评审小组</w:t>
            </w:r>
          </w:p>
        </w:tc>
        <w:tc>
          <w:tcPr>
            <w:tcW w:w="7156" w:type="dxa"/>
            <w:vAlign w:val="center"/>
          </w:tcPr>
          <w:p w14:paraId="2B6C3503">
            <w:pPr>
              <w:pStyle w:val="7"/>
              <w:spacing w:line="400" w:lineRule="exact"/>
              <w:rPr>
                <w:rFonts w:ascii="宋体" w:hAnsi="宋体" w:eastAsia="宋体" w:cs="宋体"/>
                <w:kern w:val="0"/>
                <w:sz w:val="24"/>
                <w:szCs w:val="24"/>
              </w:rPr>
            </w:pPr>
            <w:r>
              <w:rPr>
                <w:rFonts w:hint="eastAsia" w:ascii="宋体" w:hAnsi="宋体" w:eastAsia="宋体" w:cs="宋体"/>
                <w:sz w:val="24"/>
              </w:rPr>
              <w:t>本项目评审小组人数：</w:t>
            </w:r>
            <w:r>
              <w:rPr>
                <w:rFonts w:hint="eastAsia" w:ascii="宋体" w:hAnsi="宋体" w:eastAsia="宋体" w:cs="宋体"/>
                <w:sz w:val="24"/>
                <w:u w:val="single"/>
              </w:rPr>
              <w:t xml:space="preserve"> 3 </w:t>
            </w:r>
            <w:r>
              <w:rPr>
                <w:rFonts w:hint="eastAsia" w:ascii="宋体" w:hAnsi="宋体" w:eastAsia="宋体" w:cs="宋体"/>
                <w:sz w:val="24"/>
              </w:rPr>
              <w:t>人。</w:t>
            </w:r>
          </w:p>
        </w:tc>
      </w:tr>
      <w:tr w14:paraId="242C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196C9605">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14.2</w:t>
            </w:r>
          </w:p>
        </w:tc>
        <w:tc>
          <w:tcPr>
            <w:tcW w:w="1363" w:type="dxa"/>
            <w:vAlign w:val="center"/>
          </w:tcPr>
          <w:p w14:paraId="33BAB574">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评审方法</w:t>
            </w:r>
          </w:p>
        </w:tc>
        <w:tc>
          <w:tcPr>
            <w:tcW w:w="7156" w:type="dxa"/>
            <w:vAlign w:val="center"/>
          </w:tcPr>
          <w:p w14:paraId="319062E2">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综合评分法</w:t>
            </w:r>
          </w:p>
        </w:tc>
      </w:tr>
      <w:tr w14:paraId="530B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Merge w:val="restart"/>
            <w:vAlign w:val="center"/>
          </w:tcPr>
          <w:p w14:paraId="2CF80F1E">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19.1</w:t>
            </w:r>
          </w:p>
        </w:tc>
        <w:tc>
          <w:tcPr>
            <w:tcW w:w="1363" w:type="dxa"/>
            <w:vMerge w:val="restart"/>
            <w:vAlign w:val="center"/>
          </w:tcPr>
          <w:p w14:paraId="33296762">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确定成交候选供应商和成交供应商</w:t>
            </w:r>
          </w:p>
        </w:tc>
        <w:tc>
          <w:tcPr>
            <w:tcW w:w="7156" w:type="dxa"/>
            <w:vAlign w:val="center"/>
          </w:tcPr>
          <w:p w14:paraId="67D8F2D2">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评审小组推荐成交候选供应商的数量：3家</w:t>
            </w:r>
          </w:p>
          <w:p w14:paraId="3890EE83">
            <w:pPr>
              <w:pStyle w:val="45"/>
              <w:widowControl w:val="0"/>
              <w:spacing w:before="0" w:beforeAutospacing="0" w:after="0" w:afterAutospacing="0" w:line="400" w:lineRule="exact"/>
              <w:jc w:val="both"/>
              <w:rPr>
                <w:rFonts w:ascii="宋体" w:hAnsi="宋体" w:cs="宋体"/>
                <w:b w:val="0"/>
                <w:sz w:val="24"/>
                <w:u w:val="single"/>
              </w:rPr>
            </w:pPr>
            <w:r>
              <w:rPr>
                <w:rFonts w:hint="eastAsia" w:ascii="宋体" w:hAnsi="宋体" w:cs="宋体"/>
                <w:b w:val="0"/>
                <w:sz w:val="24"/>
              </w:rPr>
              <w:t>注：法律、法规另有规定的，从其规定。</w:t>
            </w:r>
          </w:p>
        </w:tc>
      </w:tr>
      <w:tr w14:paraId="20F2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Merge w:val="continue"/>
            <w:vAlign w:val="center"/>
          </w:tcPr>
          <w:p w14:paraId="3FD443CE">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p>
        </w:tc>
        <w:tc>
          <w:tcPr>
            <w:tcW w:w="1363" w:type="dxa"/>
            <w:vMerge w:val="continue"/>
            <w:vAlign w:val="center"/>
          </w:tcPr>
          <w:p w14:paraId="6B6127ED">
            <w:pPr>
              <w:pStyle w:val="45"/>
              <w:widowControl w:val="0"/>
              <w:spacing w:before="0" w:beforeAutospacing="0" w:after="0" w:afterAutospacing="0" w:line="400" w:lineRule="exact"/>
              <w:rPr>
                <w:rFonts w:ascii="宋体" w:hAnsi="宋体" w:cs="宋体"/>
                <w:b w:val="0"/>
                <w:sz w:val="24"/>
              </w:rPr>
            </w:pPr>
          </w:p>
        </w:tc>
        <w:tc>
          <w:tcPr>
            <w:tcW w:w="7156" w:type="dxa"/>
            <w:vAlign w:val="center"/>
          </w:tcPr>
          <w:p w14:paraId="4C7B8BCD">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确定成交供应商：</w:t>
            </w:r>
          </w:p>
          <w:p w14:paraId="207B31CE">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sym w:font="Wingdings" w:char="00FE"/>
            </w:r>
            <w:r>
              <w:rPr>
                <w:rFonts w:hint="eastAsia" w:ascii="宋体" w:hAnsi="宋体" w:cs="宋体"/>
                <w:b w:val="0"/>
                <w:sz w:val="24"/>
              </w:rPr>
              <w:t>发包人委托评审小组确定</w:t>
            </w:r>
          </w:p>
          <w:p w14:paraId="77AF6BD8">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□发包人确定</w:t>
            </w:r>
          </w:p>
        </w:tc>
      </w:tr>
      <w:tr w14:paraId="702D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799FE551">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24.1</w:t>
            </w:r>
          </w:p>
        </w:tc>
        <w:tc>
          <w:tcPr>
            <w:tcW w:w="1363" w:type="dxa"/>
            <w:vAlign w:val="center"/>
          </w:tcPr>
          <w:p w14:paraId="6A07DCE5">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告知发包结果的形式</w:t>
            </w:r>
          </w:p>
        </w:tc>
        <w:tc>
          <w:tcPr>
            <w:tcW w:w="7156" w:type="dxa"/>
            <w:vAlign w:val="center"/>
          </w:tcPr>
          <w:p w14:paraId="37E51705">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发包现场告知</w:t>
            </w:r>
          </w:p>
        </w:tc>
      </w:tr>
      <w:tr w14:paraId="4972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0C99E612">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25.1</w:t>
            </w:r>
          </w:p>
        </w:tc>
        <w:tc>
          <w:tcPr>
            <w:tcW w:w="1363" w:type="dxa"/>
            <w:vAlign w:val="center"/>
          </w:tcPr>
          <w:p w14:paraId="2A6D4831">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履约保证金</w:t>
            </w:r>
          </w:p>
        </w:tc>
        <w:tc>
          <w:tcPr>
            <w:tcW w:w="7156" w:type="dxa"/>
            <w:vAlign w:val="center"/>
          </w:tcPr>
          <w:p w14:paraId="560115DE">
            <w:pPr>
              <w:numPr>
                <w:ilvl w:val="0"/>
                <w:numId w:val="1"/>
              </w:numPr>
              <w:spacing w:line="400" w:lineRule="exact"/>
              <w:rPr>
                <w:rFonts w:ascii="宋体" w:hAnsi="宋体" w:cs="宋体"/>
                <w:bCs/>
                <w:kern w:val="0"/>
                <w:sz w:val="24"/>
                <w:szCs w:val="28"/>
              </w:rPr>
            </w:pPr>
            <w:r>
              <w:rPr>
                <w:rFonts w:hint="eastAsia" w:ascii="宋体" w:hAnsi="宋体" w:cs="宋体"/>
                <w:bCs/>
                <w:kern w:val="0"/>
                <w:sz w:val="24"/>
                <w:szCs w:val="28"/>
              </w:rPr>
              <w:t>成交供应商在签订合同时应向发包人提交合同总价</w:t>
            </w:r>
            <w:r>
              <w:rPr>
                <w:rFonts w:hint="eastAsia" w:ascii="宋体" w:hAnsi="宋体" w:cs="宋体"/>
                <w:bCs/>
                <w:kern w:val="0"/>
                <w:sz w:val="24"/>
                <w:szCs w:val="28"/>
                <w:u w:val="single"/>
              </w:rPr>
              <w:t>/</w:t>
            </w:r>
            <w:r>
              <w:rPr>
                <w:rFonts w:hint="eastAsia" w:ascii="宋体" w:hAnsi="宋体" w:cs="宋体"/>
                <w:bCs/>
                <w:kern w:val="0"/>
                <w:sz w:val="24"/>
                <w:szCs w:val="28"/>
              </w:rPr>
              <w:t>%的履约保证金。</w:t>
            </w:r>
          </w:p>
          <w:p w14:paraId="0484C5D3">
            <w:pPr>
              <w:spacing w:line="400" w:lineRule="exact"/>
              <w:rPr>
                <w:rFonts w:ascii="宋体" w:hAnsi="宋体" w:cs="宋体"/>
                <w:bCs/>
                <w:kern w:val="0"/>
                <w:sz w:val="24"/>
                <w:szCs w:val="28"/>
              </w:rPr>
            </w:pPr>
            <w:r>
              <w:rPr>
                <w:rFonts w:hint="eastAsia" w:ascii="宋体" w:hAnsi="宋体" w:cs="宋体"/>
                <w:bCs/>
                <w:kern w:val="0"/>
                <w:sz w:val="24"/>
                <w:szCs w:val="28"/>
              </w:rPr>
              <w:t>2、成交供应商可以通过转账、网银支付、汇票、支票、保证保险、担保保函、银行履约保函等方式提交履约保证金。</w:t>
            </w:r>
          </w:p>
          <w:p w14:paraId="5DAB8C67">
            <w:pPr>
              <w:pStyle w:val="8"/>
              <w:spacing w:line="400" w:lineRule="exact"/>
              <w:rPr>
                <w:rFonts w:ascii="宋体" w:hAnsi="宋体" w:eastAsia="宋体" w:cs="宋体"/>
                <w:bCs/>
                <w:kern w:val="0"/>
                <w:sz w:val="24"/>
                <w:szCs w:val="28"/>
                <w:lang w:val="en-US"/>
              </w:rPr>
            </w:pPr>
            <w:r>
              <w:rPr>
                <w:rFonts w:hint="eastAsia" w:ascii="宋体" w:hAnsi="宋体" w:eastAsia="宋体" w:cs="宋体"/>
                <w:bCs/>
                <w:kern w:val="0"/>
                <w:sz w:val="24"/>
                <w:szCs w:val="28"/>
                <w:lang w:val="en-US"/>
              </w:rPr>
              <w:t>3、项目验收结束后将及时退还履约保证金。</w:t>
            </w:r>
          </w:p>
          <w:p w14:paraId="142F64DE">
            <w:pPr>
              <w:spacing w:line="400" w:lineRule="exact"/>
              <w:rPr>
                <w:rFonts w:ascii="宋体" w:hAnsi="宋体" w:cs="宋体"/>
                <w:b/>
                <w:kern w:val="0"/>
                <w:sz w:val="24"/>
                <w:szCs w:val="28"/>
              </w:rPr>
            </w:pPr>
            <w:r>
              <w:rPr>
                <w:rFonts w:hint="eastAsia" w:ascii="宋体" w:hAnsi="宋体" w:cs="宋体"/>
                <w:b/>
                <w:kern w:val="0"/>
                <w:sz w:val="24"/>
                <w:szCs w:val="28"/>
              </w:rPr>
              <w:t>注意事项：</w:t>
            </w:r>
          </w:p>
          <w:p w14:paraId="327267AE">
            <w:pPr>
              <w:spacing w:line="400" w:lineRule="exact"/>
              <w:rPr>
                <w:rFonts w:ascii="宋体" w:hAnsi="宋体" w:cs="宋体"/>
                <w:bCs/>
                <w:kern w:val="0"/>
                <w:sz w:val="24"/>
                <w:szCs w:val="28"/>
              </w:rPr>
            </w:pPr>
            <w:r>
              <w:rPr>
                <w:rFonts w:hint="eastAsia" w:ascii="宋体" w:hAnsi="宋体" w:cs="宋体"/>
                <w:bCs/>
                <w:kern w:val="0"/>
                <w:sz w:val="24"/>
                <w:szCs w:val="28"/>
              </w:rPr>
              <w:t>（1）以上各类机构出具的以担保函、保证保险承担责任的方式均须满足无条件见索即付条件。</w:t>
            </w:r>
          </w:p>
          <w:p w14:paraId="75DB361E">
            <w:pPr>
              <w:pStyle w:val="45"/>
              <w:widowControl w:val="0"/>
              <w:spacing w:before="0" w:beforeAutospacing="0" w:after="0" w:afterAutospacing="0" w:line="400" w:lineRule="exact"/>
              <w:jc w:val="both"/>
              <w:rPr>
                <w:rFonts w:ascii="宋体" w:hAnsi="宋体" w:cs="宋体"/>
                <w:sz w:val="24"/>
              </w:rPr>
            </w:pPr>
            <w:r>
              <w:rPr>
                <w:rFonts w:hint="eastAsia" w:ascii="宋体" w:hAnsi="宋体" w:cs="宋体"/>
                <w:b w:val="0"/>
                <w:sz w:val="24"/>
              </w:rPr>
              <w:t>（2）以担保函、保证保险形式缴纳履约保证金的，受益人和收取单位须为发包人。</w:t>
            </w:r>
          </w:p>
        </w:tc>
      </w:tr>
      <w:tr w14:paraId="64B4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2B8B4052">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26.1</w:t>
            </w:r>
          </w:p>
        </w:tc>
        <w:tc>
          <w:tcPr>
            <w:tcW w:w="1363" w:type="dxa"/>
            <w:vAlign w:val="center"/>
          </w:tcPr>
          <w:p w14:paraId="523CEF94">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代理服务费</w:t>
            </w:r>
          </w:p>
        </w:tc>
        <w:tc>
          <w:tcPr>
            <w:tcW w:w="7156" w:type="dxa"/>
            <w:shd w:val="clear" w:color="auto" w:fill="auto"/>
            <w:vAlign w:val="center"/>
          </w:tcPr>
          <w:p w14:paraId="1361D83B">
            <w:pPr>
              <w:spacing w:line="360" w:lineRule="auto"/>
              <w:jc w:val="left"/>
              <w:rPr>
                <w:rFonts w:ascii="宋体" w:hAnsi="宋体" w:cs="宋体"/>
                <w:color w:val="000000"/>
                <w:sz w:val="24"/>
              </w:rPr>
            </w:pPr>
            <w:r>
              <w:rPr>
                <w:rFonts w:hint="eastAsia" w:ascii="宋体" w:hAnsi="宋体" w:cs="宋体"/>
                <w:b/>
                <w:bCs/>
                <w:color w:val="000000"/>
                <w:sz w:val="24"/>
              </w:rPr>
              <w:t>1、支付方</w:t>
            </w:r>
            <w:r>
              <w:rPr>
                <w:rFonts w:hint="eastAsia" w:ascii="宋体" w:hAnsi="宋体" w:cs="宋体"/>
                <w:color w:val="000000"/>
                <w:sz w:val="24"/>
              </w:rPr>
              <w:t>：□发包人  ☑成交供应商</w:t>
            </w:r>
          </w:p>
          <w:p w14:paraId="4AD94930">
            <w:pPr>
              <w:spacing w:line="360" w:lineRule="auto"/>
              <w:jc w:val="left"/>
              <w:rPr>
                <w:rFonts w:ascii="宋体" w:hAnsi="宋体" w:cs="宋体"/>
                <w:color w:val="000000"/>
                <w:sz w:val="24"/>
              </w:rPr>
            </w:pPr>
            <w:r>
              <w:rPr>
                <w:rFonts w:hint="eastAsia" w:ascii="宋体" w:hAnsi="宋体" w:cs="宋体"/>
                <w:b/>
                <w:bCs/>
                <w:color w:val="000000"/>
                <w:sz w:val="24"/>
              </w:rPr>
              <w:t>2、收费标准：</w:t>
            </w:r>
            <w:r>
              <w:rPr>
                <w:rFonts w:hint="eastAsia" w:ascii="宋体" w:hAnsi="宋体" w:cs="宋体"/>
                <w:color w:val="000000"/>
                <w:sz w:val="24"/>
                <w:szCs w:val="24"/>
              </w:rPr>
              <w:t>代理服务费按照3000元固定标准收取，评审费据实收取。</w:t>
            </w:r>
          </w:p>
          <w:p w14:paraId="1A9604D9">
            <w:pPr>
              <w:spacing w:line="360" w:lineRule="auto"/>
              <w:jc w:val="left"/>
              <w:rPr>
                <w:rFonts w:ascii="宋体" w:hAnsi="宋体" w:cs="宋体"/>
                <w:color w:val="000000"/>
                <w:sz w:val="24"/>
              </w:rPr>
            </w:pPr>
            <w:r>
              <w:rPr>
                <w:rFonts w:hint="eastAsia" w:ascii="宋体" w:hAnsi="宋体" w:cs="宋体"/>
                <w:b/>
                <w:bCs/>
                <w:color w:val="000000"/>
                <w:sz w:val="24"/>
              </w:rPr>
              <w:t>3、收取方式：</w:t>
            </w:r>
            <w:r>
              <w:rPr>
                <w:rFonts w:hint="eastAsia" w:ascii="宋体" w:hAnsi="宋体" w:cs="宋体"/>
                <w:color w:val="000000"/>
                <w:sz w:val="24"/>
              </w:rPr>
              <w:t>银行转账。</w:t>
            </w:r>
          </w:p>
          <w:p w14:paraId="479D59B4">
            <w:pPr>
              <w:spacing w:line="360" w:lineRule="auto"/>
              <w:jc w:val="left"/>
              <w:rPr>
                <w:rFonts w:ascii="宋体" w:hAnsi="宋体" w:cs="宋体"/>
                <w:b/>
                <w:bCs/>
                <w:color w:val="000000"/>
                <w:sz w:val="24"/>
              </w:rPr>
            </w:pPr>
            <w:r>
              <w:rPr>
                <w:rFonts w:hint="eastAsia" w:ascii="宋体" w:hAnsi="宋体" w:cs="宋体"/>
                <w:b/>
                <w:bCs/>
                <w:color w:val="000000"/>
                <w:sz w:val="24"/>
              </w:rPr>
              <w:t>4、代理服务费缴纳账户：</w:t>
            </w:r>
          </w:p>
          <w:p w14:paraId="40AF1B51">
            <w:pPr>
              <w:spacing w:line="360" w:lineRule="auto"/>
              <w:jc w:val="left"/>
              <w:rPr>
                <w:rFonts w:ascii="宋体" w:hAnsi="宋体" w:cs="宋体"/>
                <w:color w:val="000000"/>
                <w:sz w:val="24"/>
              </w:rPr>
            </w:pPr>
            <w:r>
              <w:rPr>
                <w:rFonts w:hint="eastAsia" w:ascii="宋体" w:hAnsi="宋体" w:cs="宋体"/>
                <w:color w:val="000000"/>
                <w:sz w:val="24"/>
              </w:rPr>
              <w:t xml:space="preserve">户名：安徽省六投项目管理有限公司 </w:t>
            </w:r>
          </w:p>
          <w:p w14:paraId="32F140D6">
            <w:pPr>
              <w:spacing w:line="360" w:lineRule="auto"/>
              <w:jc w:val="left"/>
              <w:rPr>
                <w:rFonts w:ascii="宋体" w:hAnsi="宋体" w:cs="宋体"/>
                <w:color w:val="000000"/>
                <w:sz w:val="24"/>
              </w:rPr>
            </w:pPr>
            <w:r>
              <w:rPr>
                <w:rFonts w:hint="eastAsia" w:ascii="宋体" w:hAnsi="宋体" w:cs="宋体"/>
                <w:color w:val="000000"/>
                <w:sz w:val="24"/>
              </w:rPr>
              <w:t>开户行：中信银行股份有限公司六安分行营业部</w:t>
            </w:r>
          </w:p>
          <w:p w14:paraId="6DE0FE19">
            <w:pPr>
              <w:spacing w:line="360" w:lineRule="auto"/>
              <w:jc w:val="left"/>
              <w:rPr>
                <w:rFonts w:ascii="宋体" w:hAnsi="宋体" w:cs="宋体"/>
                <w:color w:val="000000"/>
                <w:sz w:val="24"/>
              </w:rPr>
            </w:pPr>
            <w:r>
              <w:rPr>
                <w:rFonts w:hint="eastAsia" w:ascii="宋体" w:hAnsi="宋体" w:cs="宋体"/>
                <w:color w:val="000000"/>
                <w:sz w:val="24"/>
              </w:rPr>
              <w:t>账号：8112301011800940412</w:t>
            </w:r>
          </w:p>
          <w:p w14:paraId="1E5A1BB7">
            <w:pPr>
              <w:pStyle w:val="46"/>
              <w:pBdr>
                <w:bottom w:val="none" w:color="auto" w:sz="0" w:space="0"/>
              </w:pBdr>
              <w:tabs>
                <w:tab w:val="clear" w:pos="4153"/>
                <w:tab w:val="clear" w:pos="8306"/>
              </w:tabs>
              <w:adjustRightInd/>
              <w:spacing w:line="360" w:lineRule="auto"/>
              <w:jc w:val="left"/>
              <w:textAlignment w:val="auto"/>
              <w:rPr>
                <w:rFonts w:ascii="宋体" w:hAnsi="宋体" w:cs="Times New Roman"/>
                <w:color w:val="000000"/>
                <w:kern w:val="2"/>
                <w:szCs w:val="24"/>
              </w:rPr>
            </w:pPr>
            <w:r>
              <w:rPr>
                <w:rFonts w:hint="eastAsia" w:ascii="宋体" w:hAnsi="宋体" w:cs="宋体"/>
                <w:b/>
                <w:bCs/>
                <w:color w:val="000000"/>
              </w:rPr>
              <w:t>5、代理服务费详见中标结果公告；</w:t>
            </w:r>
            <w:r>
              <w:rPr>
                <w:rFonts w:hint="eastAsia" w:ascii="宋体" w:hAnsi="宋体" w:cs="宋体"/>
                <w:color w:val="000000"/>
                <w:kern w:val="2"/>
              </w:rPr>
              <w:t>代理服务费须从成交供应商账户转出，并备注项目名称。</w:t>
            </w:r>
          </w:p>
        </w:tc>
      </w:tr>
      <w:tr w14:paraId="05C2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6F7536FF">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27.1</w:t>
            </w:r>
          </w:p>
        </w:tc>
        <w:tc>
          <w:tcPr>
            <w:tcW w:w="1363" w:type="dxa"/>
            <w:vAlign w:val="center"/>
          </w:tcPr>
          <w:p w14:paraId="595A395E">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签订合同、验收</w:t>
            </w:r>
          </w:p>
        </w:tc>
        <w:tc>
          <w:tcPr>
            <w:tcW w:w="7156" w:type="dxa"/>
            <w:vAlign w:val="center"/>
          </w:tcPr>
          <w:p w14:paraId="76BCA6DC">
            <w:pPr>
              <w:pStyle w:val="45"/>
              <w:widowControl w:val="0"/>
              <w:spacing w:before="0" w:beforeAutospacing="0" w:after="0" w:afterAutospacing="0" w:line="400" w:lineRule="exact"/>
              <w:jc w:val="both"/>
              <w:rPr>
                <w:rFonts w:ascii="宋体" w:hAnsi="宋体" w:cs="宋体"/>
                <w:b w:val="0"/>
                <w:sz w:val="24"/>
              </w:rPr>
            </w:pPr>
            <w:r>
              <w:rPr>
                <w:rFonts w:hint="eastAsia" w:ascii="宋体" w:hAnsi="宋体" w:cs="宋体"/>
                <w:b w:val="0"/>
                <w:sz w:val="24"/>
              </w:rPr>
              <w:t>（1）发包人应尽量缩短采购合同签订时间，不得晚于中标（成交）通知书发放之日起 7 个工作日。无正当理由不得拒绝或者拖延签订合同，因供应商自身原因导致无法及时签订的除外。发包文件、成交供应商的响应文件及澄清文件等，均作为合同的附件。</w:t>
            </w:r>
          </w:p>
          <w:p w14:paraId="07EA2926">
            <w:pPr>
              <w:pStyle w:val="45"/>
              <w:widowControl w:val="0"/>
              <w:spacing w:before="0" w:beforeAutospacing="0" w:after="0" w:afterAutospacing="0" w:line="400" w:lineRule="exact"/>
              <w:jc w:val="both"/>
              <w:rPr>
                <w:rFonts w:ascii="宋体" w:hAnsi="宋体" w:cs="宋体"/>
                <w:b w:val="0"/>
                <w:sz w:val="24"/>
                <w:szCs w:val="24"/>
              </w:rPr>
            </w:pPr>
            <w:r>
              <w:rPr>
                <w:rFonts w:hint="eastAsia" w:ascii="宋体" w:hAnsi="宋体" w:cs="宋体"/>
                <w:b w:val="0"/>
                <w:sz w:val="24"/>
                <w:szCs w:val="24"/>
              </w:rPr>
              <w:t>（2）发包人应当在项目完成且收到供应商验收申请后 5 个工作日内组织开展履约验收。</w:t>
            </w:r>
          </w:p>
          <w:p w14:paraId="446F9349">
            <w:pPr>
              <w:pStyle w:val="45"/>
              <w:widowControl w:val="0"/>
              <w:spacing w:before="0" w:beforeAutospacing="0" w:after="0" w:afterAutospacing="0" w:line="400" w:lineRule="exact"/>
              <w:jc w:val="both"/>
              <w:rPr>
                <w:rFonts w:ascii="宋体" w:hAnsi="宋体" w:cs="宋体"/>
                <w:b w:val="0"/>
                <w:sz w:val="24"/>
                <w:szCs w:val="24"/>
              </w:rPr>
            </w:pPr>
            <w:r>
              <w:rPr>
                <w:rFonts w:hint="eastAsia" w:ascii="宋体" w:hAnsi="宋体" w:cs="宋体"/>
                <w:b w:val="0"/>
                <w:sz w:val="24"/>
                <w:szCs w:val="24"/>
              </w:rPr>
              <w:t>（3）发包人验收时，应成立三人以上验收小组，明确责任，严格依照发包文件、成交通知书、采购合同及相关验收规范进行核对、验收，形成验收结论，并出具书面验收报告。</w:t>
            </w:r>
          </w:p>
          <w:p w14:paraId="378574BF">
            <w:pPr>
              <w:pStyle w:val="45"/>
              <w:widowControl w:val="0"/>
              <w:spacing w:before="0" w:beforeAutospacing="0" w:after="0" w:afterAutospacing="0" w:line="400" w:lineRule="exact"/>
              <w:jc w:val="both"/>
              <w:rPr>
                <w:rFonts w:ascii="宋体" w:hAnsi="宋体" w:cs="宋体"/>
                <w:b w:val="0"/>
                <w:sz w:val="24"/>
                <w:szCs w:val="24"/>
              </w:rPr>
            </w:pPr>
            <w:r>
              <w:rPr>
                <w:rFonts w:hint="eastAsia" w:ascii="宋体" w:hAnsi="宋体" w:cs="宋体"/>
                <w:b w:val="0"/>
                <w:sz w:val="24"/>
                <w:szCs w:val="24"/>
              </w:rPr>
              <w:t>（4）涉及安全、消防、环保等其他需要由质检或行业主管部门进行验收的项目，必须邀请相关部门或相关专家参与验收。</w:t>
            </w:r>
          </w:p>
          <w:p w14:paraId="2D7B50F3">
            <w:pPr>
              <w:pStyle w:val="45"/>
              <w:widowControl w:val="0"/>
              <w:spacing w:before="0" w:beforeAutospacing="0" w:after="0" w:afterAutospacing="0" w:line="400" w:lineRule="exact"/>
              <w:jc w:val="both"/>
              <w:rPr>
                <w:rFonts w:ascii="宋体" w:hAnsi="宋体" w:cs="宋体"/>
                <w:b w:val="0"/>
                <w:sz w:val="24"/>
                <w:szCs w:val="24"/>
              </w:rPr>
            </w:pPr>
            <w:r>
              <w:rPr>
                <w:rFonts w:hint="eastAsia" w:ascii="宋体" w:hAnsi="宋体" w:cs="宋体"/>
                <w:b w:val="0"/>
                <w:sz w:val="24"/>
                <w:szCs w:val="24"/>
              </w:rPr>
              <w:t>（5）因政策变化等原因不能签订合同，造成企业合法利益受损的情形，发包人可以与供应商双方自行协商，给予合理补偿。</w:t>
            </w:r>
          </w:p>
        </w:tc>
      </w:tr>
      <w:tr w14:paraId="54FC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505A96AB">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29.3</w:t>
            </w:r>
          </w:p>
        </w:tc>
        <w:tc>
          <w:tcPr>
            <w:tcW w:w="1363" w:type="dxa"/>
            <w:vAlign w:val="center"/>
          </w:tcPr>
          <w:p w14:paraId="39B4F5BF">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质疑函递交方式</w:t>
            </w:r>
          </w:p>
        </w:tc>
        <w:tc>
          <w:tcPr>
            <w:tcW w:w="7156" w:type="dxa"/>
            <w:vAlign w:val="center"/>
          </w:tcPr>
          <w:p w14:paraId="68712A1B">
            <w:pPr>
              <w:pStyle w:val="45"/>
              <w:spacing w:beforeAutospacing="0" w:afterAutospacing="0" w:line="400" w:lineRule="exact"/>
              <w:jc w:val="left"/>
              <w:rPr>
                <w:rFonts w:ascii="宋体" w:hAnsi="宋体" w:cs="宋体"/>
                <w:b w:val="0"/>
                <w:sz w:val="24"/>
              </w:rPr>
            </w:pPr>
            <w:r>
              <w:rPr>
                <w:rFonts w:hint="eastAsia" w:ascii="宋体" w:hAnsi="宋体" w:cs="宋体"/>
                <w:b w:val="0"/>
                <w:sz w:val="24"/>
              </w:rPr>
              <w:t>1、供应商若对发包文件有关内容存在质疑，可在法定质疑时限内以书面形式在工作时间向发包人、代理机构提出质疑。质疑文件须参照《政府采购质疑和投诉办法》（财政部令第94号）规定的要求制作《质疑函》，质疑文件不可匿名。</w:t>
            </w:r>
          </w:p>
          <w:p w14:paraId="5E171083">
            <w:pPr>
              <w:pStyle w:val="45"/>
              <w:spacing w:beforeAutospacing="0" w:afterAutospacing="0" w:line="400" w:lineRule="exact"/>
              <w:jc w:val="left"/>
              <w:rPr>
                <w:rFonts w:ascii="宋体" w:hAnsi="宋体" w:cs="宋体"/>
                <w:b w:val="0"/>
                <w:sz w:val="24"/>
              </w:rPr>
            </w:pPr>
            <w:r>
              <w:rPr>
                <w:rFonts w:hint="eastAsia" w:ascii="宋体" w:hAnsi="宋体" w:cs="宋体"/>
                <w:b w:val="0"/>
                <w:sz w:val="24"/>
              </w:rPr>
              <w:t>2、发包人（代理机构）将于收到质疑文件后七个工作日内作出答复。</w:t>
            </w:r>
          </w:p>
          <w:p w14:paraId="1C456818">
            <w:pPr>
              <w:pStyle w:val="45"/>
              <w:widowControl w:val="0"/>
              <w:spacing w:before="0" w:beforeAutospacing="0" w:after="0" w:afterAutospacing="0" w:line="400" w:lineRule="exact"/>
              <w:jc w:val="left"/>
              <w:rPr>
                <w:rFonts w:ascii="宋体" w:hAnsi="宋体" w:cs="宋体"/>
                <w:b w:val="0"/>
                <w:sz w:val="24"/>
              </w:rPr>
            </w:pPr>
            <w:r>
              <w:rPr>
                <w:rFonts w:hint="eastAsia" w:ascii="宋体" w:hAnsi="宋体" w:cs="宋体"/>
                <w:b w:val="0"/>
                <w:sz w:val="24"/>
              </w:rPr>
              <w:t>3、请各潜在供应商在响应截止时间前，务必登录网站查看是否发布有关项目更正公告。更正公告为发包文件的有效组成部分，一经发布即为视同已通知所有潜在供应商，若因未及时关注而造成的一切后果，由供应商自行承担。</w:t>
            </w:r>
          </w:p>
        </w:tc>
      </w:tr>
      <w:tr w14:paraId="79A0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907" w:type="dxa"/>
            <w:vAlign w:val="center"/>
          </w:tcPr>
          <w:p w14:paraId="3C95AE00">
            <w:pPr>
              <w:pStyle w:val="46"/>
              <w:pBdr>
                <w:bottom w:val="none" w:color="auto" w:sz="0" w:space="0"/>
              </w:pBdr>
              <w:tabs>
                <w:tab w:val="clear" w:pos="4153"/>
                <w:tab w:val="clear" w:pos="8306"/>
              </w:tabs>
              <w:adjustRightInd/>
              <w:spacing w:line="400" w:lineRule="exact"/>
              <w:textAlignment w:val="auto"/>
              <w:rPr>
                <w:rFonts w:ascii="宋体" w:hAnsi="宋体" w:cs="宋体"/>
                <w:bCs/>
                <w:kern w:val="2"/>
              </w:rPr>
            </w:pPr>
            <w:r>
              <w:rPr>
                <w:rFonts w:hint="eastAsia" w:ascii="宋体" w:hAnsi="宋体" w:cs="宋体"/>
                <w:bCs/>
                <w:kern w:val="2"/>
              </w:rPr>
              <w:t>30</w:t>
            </w:r>
          </w:p>
        </w:tc>
        <w:tc>
          <w:tcPr>
            <w:tcW w:w="1363" w:type="dxa"/>
            <w:vAlign w:val="center"/>
          </w:tcPr>
          <w:p w14:paraId="4946798C">
            <w:pPr>
              <w:pStyle w:val="45"/>
              <w:widowControl w:val="0"/>
              <w:spacing w:before="0" w:beforeAutospacing="0" w:after="0" w:afterAutospacing="0" w:line="400" w:lineRule="exact"/>
              <w:rPr>
                <w:rFonts w:ascii="宋体" w:hAnsi="宋体" w:cs="宋体"/>
                <w:b w:val="0"/>
                <w:sz w:val="24"/>
              </w:rPr>
            </w:pPr>
            <w:r>
              <w:rPr>
                <w:rFonts w:hint="eastAsia" w:ascii="宋体" w:hAnsi="宋体" w:cs="宋体"/>
                <w:b w:val="0"/>
                <w:sz w:val="24"/>
              </w:rPr>
              <w:t>其他内容</w:t>
            </w:r>
          </w:p>
        </w:tc>
        <w:tc>
          <w:tcPr>
            <w:tcW w:w="7156" w:type="dxa"/>
            <w:vAlign w:val="center"/>
          </w:tcPr>
          <w:p w14:paraId="5EB3E9E1">
            <w:pPr>
              <w:spacing w:line="400" w:lineRule="exact"/>
              <w:rPr>
                <w:rFonts w:ascii="宋体" w:hAnsi="宋体" w:cs="宋体"/>
                <w:bCs/>
                <w:sz w:val="24"/>
                <w:szCs w:val="24"/>
              </w:rPr>
            </w:pPr>
            <w:r>
              <w:rPr>
                <w:rFonts w:hint="eastAsia" w:ascii="宋体" w:hAnsi="宋体" w:cs="宋体"/>
                <w:bCs/>
                <w:sz w:val="24"/>
                <w:szCs w:val="24"/>
              </w:rPr>
              <w:t>1.解释权</w:t>
            </w:r>
          </w:p>
          <w:p w14:paraId="6D69896E">
            <w:pPr>
              <w:spacing w:line="400" w:lineRule="exact"/>
              <w:rPr>
                <w:rFonts w:ascii="宋体" w:hAnsi="宋体" w:cs="宋体"/>
                <w:bCs/>
                <w:sz w:val="24"/>
                <w:szCs w:val="24"/>
              </w:rPr>
            </w:pPr>
            <w:r>
              <w:rPr>
                <w:rFonts w:hint="eastAsia" w:ascii="宋体" w:hAnsi="宋体" w:cs="宋体"/>
                <w:bCs/>
                <w:sz w:val="24"/>
                <w:szCs w:val="24"/>
              </w:rPr>
              <w:t>（1）构成本发包文件的各个组成文件应互为解释，互为说明；</w:t>
            </w:r>
          </w:p>
          <w:p w14:paraId="02A1EF14">
            <w:pPr>
              <w:spacing w:line="400" w:lineRule="exact"/>
              <w:rPr>
                <w:rFonts w:ascii="宋体" w:hAnsi="宋体" w:cs="宋体"/>
                <w:bCs/>
                <w:sz w:val="24"/>
                <w:szCs w:val="24"/>
              </w:rPr>
            </w:pPr>
            <w:r>
              <w:rPr>
                <w:rFonts w:hint="eastAsia" w:ascii="宋体" w:hAnsi="宋体" w:cs="宋体"/>
                <w:bCs/>
                <w:sz w:val="24"/>
                <w:szCs w:val="24"/>
              </w:rPr>
              <w:t>（2）同一组成文件中就同一事项的规定或约定不一致的，以编排顺序在后者为准；</w:t>
            </w:r>
          </w:p>
          <w:p w14:paraId="6DBE701B">
            <w:pPr>
              <w:spacing w:line="400" w:lineRule="exact"/>
              <w:rPr>
                <w:rFonts w:ascii="宋体" w:hAnsi="宋体" w:cs="宋体"/>
                <w:bCs/>
                <w:sz w:val="24"/>
                <w:szCs w:val="24"/>
              </w:rPr>
            </w:pPr>
            <w:r>
              <w:rPr>
                <w:rFonts w:hint="eastAsia" w:ascii="宋体" w:hAnsi="宋体" w:cs="宋体"/>
                <w:bCs/>
                <w:sz w:val="24"/>
                <w:szCs w:val="24"/>
              </w:rPr>
              <w:t>（3）如有不明确或不一致，构成合同文件组成内容的，以合同文件约定内容为准，且以专用合同条款约定的合同文件优先顺序解释；</w:t>
            </w:r>
          </w:p>
          <w:p w14:paraId="2B671BCE">
            <w:pPr>
              <w:spacing w:line="400" w:lineRule="exact"/>
              <w:rPr>
                <w:rFonts w:ascii="宋体" w:hAnsi="宋体" w:cs="宋体"/>
                <w:bCs/>
                <w:sz w:val="24"/>
                <w:szCs w:val="24"/>
              </w:rPr>
            </w:pPr>
            <w:r>
              <w:rPr>
                <w:rFonts w:hint="eastAsia" w:ascii="宋体" w:hAnsi="宋体" w:cs="宋体"/>
                <w:bCs/>
                <w:sz w:val="24"/>
                <w:szCs w:val="24"/>
              </w:rPr>
              <w:t>（4）除发包文件中有特别规定外，仅适用于响应文件提交阶段的规定，按采购邀请、供应商须知、评审方法和标准、响应文件格式的先后顺序解释；</w:t>
            </w:r>
          </w:p>
          <w:p w14:paraId="77895694">
            <w:pPr>
              <w:spacing w:line="400" w:lineRule="exact"/>
              <w:rPr>
                <w:rFonts w:ascii="宋体" w:hAnsi="宋体" w:cs="宋体"/>
                <w:bCs/>
                <w:sz w:val="24"/>
                <w:szCs w:val="24"/>
              </w:rPr>
            </w:pPr>
            <w:r>
              <w:rPr>
                <w:rFonts w:hint="eastAsia" w:ascii="宋体" w:hAnsi="宋体" w:cs="宋体"/>
                <w:bCs/>
                <w:sz w:val="24"/>
                <w:szCs w:val="24"/>
              </w:rPr>
              <w:t>（5）按本款前述规定仍不能形成结论的，由发包人负责解释。</w:t>
            </w:r>
          </w:p>
          <w:p w14:paraId="778899CF">
            <w:pPr>
              <w:pStyle w:val="45"/>
              <w:widowControl w:val="0"/>
              <w:spacing w:before="0" w:beforeAutospacing="0" w:after="0" w:afterAutospacing="0" w:line="400" w:lineRule="exact"/>
              <w:jc w:val="both"/>
              <w:rPr>
                <w:rFonts w:ascii="宋体" w:hAnsi="宋体" w:cs="宋体"/>
                <w:b w:val="0"/>
                <w:sz w:val="24"/>
                <w:szCs w:val="24"/>
              </w:rPr>
            </w:pPr>
            <w:r>
              <w:rPr>
                <w:rFonts w:hint="eastAsia" w:ascii="宋体" w:hAnsi="宋体" w:cs="宋体"/>
                <w:b w:val="0"/>
                <w:sz w:val="24"/>
                <w:szCs w:val="24"/>
              </w:rPr>
              <w:t>2、发包文件中，按日计算期间的，开始当天不计入，从次日开始计算。期限的最后一日是国家法定节假日的，顺延到节假日后的次日为期限的最后一日。</w:t>
            </w:r>
          </w:p>
          <w:p w14:paraId="68D1704F">
            <w:pPr>
              <w:pStyle w:val="45"/>
              <w:widowControl w:val="0"/>
              <w:spacing w:before="0" w:beforeAutospacing="0" w:after="0" w:afterAutospacing="0" w:line="400" w:lineRule="exact"/>
              <w:jc w:val="both"/>
              <w:rPr>
                <w:rFonts w:ascii="宋体" w:hAnsi="宋体" w:cs="宋体"/>
                <w:sz w:val="24"/>
                <w:szCs w:val="24"/>
              </w:rPr>
            </w:pPr>
            <w:r>
              <w:rPr>
                <w:rFonts w:hint="eastAsia" w:ascii="宋体" w:hAnsi="宋体" w:cs="宋体"/>
                <w:b w:val="0"/>
                <w:sz w:val="24"/>
                <w:szCs w:val="24"/>
              </w:rPr>
              <w:t>3、发包文件中，所称的“以上”、“以下”、“内”、“以内”，包括本数；所称的“不足”，不包括本数。</w:t>
            </w:r>
          </w:p>
        </w:tc>
      </w:tr>
    </w:tbl>
    <w:p w14:paraId="7F50FB48">
      <w:pPr>
        <w:spacing w:line="360" w:lineRule="auto"/>
        <w:jc w:val="center"/>
        <w:outlineLvl w:val="1"/>
        <w:rPr>
          <w:rFonts w:ascii="宋体" w:hAnsi="宋体" w:cs="宋体"/>
          <w:b/>
          <w:sz w:val="24"/>
        </w:rPr>
      </w:pPr>
      <w:r>
        <w:rPr>
          <w:rFonts w:hint="eastAsia" w:ascii="宋体" w:hAnsi="宋体" w:cs="宋体"/>
          <w:b/>
          <w:sz w:val="28"/>
        </w:rPr>
        <w:br w:type="page"/>
      </w:r>
      <w:bookmarkStart w:id="64" w:name="_Toc27470"/>
      <w:bookmarkStart w:id="65" w:name="_Toc14293"/>
      <w:bookmarkStart w:id="66" w:name="_Toc2861"/>
      <w:bookmarkStart w:id="67" w:name="_Toc26212"/>
      <w:r>
        <w:rPr>
          <w:rFonts w:hint="eastAsia" w:ascii="宋体" w:hAnsi="宋体" w:cs="宋体"/>
          <w:b/>
          <w:sz w:val="24"/>
        </w:rPr>
        <w:t>二、供应商须知正文</w:t>
      </w:r>
      <w:bookmarkEnd w:id="64"/>
      <w:bookmarkEnd w:id="65"/>
      <w:bookmarkEnd w:id="66"/>
      <w:bookmarkEnd w:id="67"/>
    </w:p>
    <w:p w14:paraId="3490BF41">
      <w:pPr>
        <w:spacing w:line="360" w:lineRule="auto"/>
        <w:ind w:firstLine="437"/>
        <w:outlineLvl w:val="2"/>
        <w:rPr>
          <w:rFonts w:ascii="宋体" w:hAnsi="宋体" w:cs="宋体"/>
          <w:b/>
          <w:sz w:val="24"/>
        </w:rPr>
      </w:pPr>
      <w:r>
        <w:rPr>
          <w:rFonts w:hint="eastAsia" w:ascii="宋体" w:hAnsi="宋体" w:cs="宋体"/>
          <w:b/>
          <w:sz w:val="24"/>
        </w:rPr>
        <w:t>1.发包人、代理机构及供应商</w:t>
      </w:r>
    </w:p>
    <w:p w14:paraId="7CF9C259">
      <w:pPr>
        <w:spacing w:line="360" w:lineRule="auto"/>
        <w:ind w:firstLine="435"/>
        <w:rPr>
          <w:rFonts w:ascii="宋体" w:hAnsi="宋体" w:cs="宋体"/>
          <w:sz w:val="24"/>
        </w:rPr>
      </w:pPr>
      <w:r>
        <w:rPr>
          <w:rFonts w:hint="eastAsia" w:ascii="宋体" w:hAnsi="宋体" w:cs="宋体"/>
          <w:sz w:val="24"/>
        </w:rPr>
        <w:t>1.1发包人：是指依法开展采购活动的国家机关、事业单位、团体组织。</w:t>
      </w:r>
    </w:p>
    <w:p w14:paraId="69000D8D">
      <w:pPr>
        <w:spacing w:line="360" w:lineRule="auto"/>
        <w:ind w:firstLine="435"/>
        <w:rPr>
          <w:rFonts w:ascii="宋体" w:hAnsi="宋体" w:cs="宋体"/>
          <w:sz w:val="24"/>
        </w:rPr>
      </w:pPr>
      <w:r>
        <w:rPr>
          <w:rFonts w:hint="eastAsia" w:ascii="宋体" w:hAnsi="宋体" w:cs="宋体"/>
          <w:sz w:val="24"/>
        </w:rPr>
        <w:t>1.2代理机构：是指从事采购代理业务的社会中介机构。</w:t>
      </w:r>
    </w:p>
    <w:p w14:paraId="228EC9C7">
      <w:pPr>
        <w:spacing w:line="360" w:lineRule="auto"/>
        <w:ind w:firstLine="435"/>
        <w:rPr>
          <w:rFonts w:ascii="宋体" w:hAnsi="宋体" w:cs="宋体"/>
          <w:sz w:val="24"/>
        </w:rPr>
      </w:pPr>
      <w:r>
        <w:rPr>
          <w:rFonts w:hint="eastAsia" w:ascii="宋体" w:hAnsi="宋体" w:cs="宋体"/>
          <w:sz w:val="24"/>
        </w:rPr>
        <w:t>1.3采购监督管理部门：/。</w:t>
      </w:r>
    </w:p>
    <w:p w14:paraId="03406293">
      <w:pPr>
        <w:spacing w:line="360" w:lineRule="auto"/>
        <w:ind w:firstLine="435"/>
        <w:rPr>
          <w:rFonts w:ascii="宋体" w:hAnsi="宋体" w:cs="宋体"/>
          <w:sz w:val="24"/>
        </w:rPr>
      </w:pPr>
      <w:r>
        <w:rPr>
          <w:rFonts w:hint="eastAsia" w:ascii="宋体" w:hAnsi="宋体" w:cs="宋体"/>
          <w:sz w:val="24"/>
        </w:rPr>
        <w:t>1.4供应商：是指向发包人提供货物、工程或者服务的法人、其他组织或者自然人。分支机构不得参加采购活动，但银行、保险、石油石化、电力、电信等有行业特殊情况的，在取得上级法人公司授权后可以分公司名义参与投标。本项目的供应商及其所投货物须满足以下条件：</w:t>
      </w:r>
    </w:p>
    <w:p w14:paraId="40E6CEBC">
      <w:pPr>
        <w:spacing w:line="360" w:lineRule="auto"/>
        <w:ind w:firstLine="435"/>
        <w:rPr>
          <w:rFonts w:ascii="宋体" w:hAnsi="宋体" w:cs="宋体"/>
          <w:sz w:val="24"/>
        </w:rPr>
      </w:pPr>
      <w:r>
        <w:rPr>
          <w:rFonts w:hint="eastAsia" w:ascii="宋体" w:hAnsi="宋体" w:cs="宋体"/>
          <w:sz w:val="24"/>
        </w:rPr>
        <w:t>1.4.1遵守本项目发包人本级和上级有关部门采购的有关规定。</w:t>
      </w:r>
    </w:p>
    <w:p w14:paraId="63DDA86B">
      <w:pPr>
        <w:spacing w:line="360" w:lineRule="auto"/>
        <w:ind w:firstLine="435"/>
        <w:rPr>
          <w:rFonts w:ascii="宋体" w:hAnsi="宋体" w:cs="宋体"/>
          <w:sz w:val="24"/>
        </w:rPr>
      </w:pPr>
      <w:r>
        <w:rPr>
          <w:rFonts w:hint="eastAsia" w:ascii="宋体" w:hAnsi="宋体" w:cs="宋体"/>
          <w:sz w:val="24"/>
        </w:rPr>
        <w:t>1.4.2以代理机构认可的方式获得了本项目的发包文件。</w:t>
      </w:r>
    </w:p>
    <w:p w14:paraId="13E53CD8">
      <w:pPr>
        <w:spacing w:line="360" w:lineRule="auto"/>
        <w:ind w:firstLine="435"/>
        <w:rPr>
          <w:rFonts w:ascii="宋体" w:hAnsi="宋体" w:cs="宋体"/>
          <w:sz w:val="24"/>
        </w:rPr>
      </w:pPr>
      <w:r>
        <w:rPr>
          <w:rFonts w:hint="eastAsia" w:ascii="宋体" w:hAnsi="宋体" w:cs="宋体"/>
          <w:sz w:val="24"/>
        </w:rPr>
        <w:t>1.4.3若采购需求中写明允许采购进口产品，供应商应保证所投产品可履行合法报通关手续进入中国关境内。</w:t>
      </w:r>
    </w:p>
    <w:p w14:paraId="2EE44C1D">
      <w:pPr>
        <w:spacing w:line="360" w:lineRule="auto"/>
        <w:ind w:firstLine="435"/>
        <w:rPr>
          <w:rFonts w:ascii="宋体" w:hAnsi="宋体" w:cs="宋体"/>
          <w:sz w:val="24"/>
        </w:rPr>
      </w:pPr>
      <w:r>
        <w:rPr>
          <w:rFonts w:hint="eastAsia" w:ascii="宋体" w:hAnsi="宋体" w:cs="宋体"/>
          <w:sz w:val="24"/>
        </w:rPr>
        <w:t>若采购需求中未写明允许采购进口产品，如供应商所投产品为进口产品，其响应文件将被认定为</w:t>
      </w:r>
      <w:r>
        <w:rPr>
          <w:rFonts w:hint="eastAsia" w:ascii="宋体" w:hAnsi="宋体" w:cs="宋体"/>
          <w:b/>
          <w:sz w:val="24"/>
        </w:rPr>
        <w:t>响应无效</w:t>
      </w:r>
      <w:r>
        <w:rPr>
          <w:rFonts w:hint="eastAsia" w:ascii="宋体" w:hAnsi="宋体" w:cs="宋体"/>
          <w:sz w:val="24"/>
        </w:rPr>
        <w:t>。</w:t>
      </w:r>
    </w:p>
    <w:p w14:paraId="63885C9F">
      <w:pPr>
        <w:spacing w:line="360" w:lineRule="auto"/>
        <w:ind w:firstLine="435"/>
        <w:rPr>
          <w:rFonts w:ascii="宋体" w:hAnsi="宋体" w:cs="宋体"/>
          <w:sz w:val="24"/>
        </w:rPr>
      </w:pPr>
      <w:bookmarkStart w:id="68" w:name="_Hlk60607583"/>
      <w:r>
        <w:rPr>
          <w:rFonts w:hint="eastAsia" w:ascii="宋体" w:hAnsi="宋体" w:cs="宋体"/>
          <w:bCs/>
          <w:kern w:val="0"/>
          <w:sz w:val="24"/>
          <w:szCs w:val="28"/>
        </w:rPr>
        <w:t>1.5若采购公告中允许联合体参加，对联合体规定如下：</w:t>
      </w:r>
    </w:p>
    <w:bookmarkEnd w:id="68"/>
    <w:p w14:paraId="30B5C03E">
      <w:pPr>
        <w:spacing w:line="360" w:lineRule="auto"/>
        <w:ind w:firstLine="435"/>
        <w:rPr>
          <w:rFonts w:ascii="宋体" w:hAnsi="宋体" w:cs="宋体"/>
          <w:sz w:val="24"/>
        </w:rPr>
      </w:pPr>
      <w:r>
        <w:rPr>
          <w:rFonts w:hint="eastAsia" w:ascii="宋体" w:hAnsi="宋体" w:cs="宋体"/>
          <w:sz w:val="24"/>
        </w:rPr>
        <w:t>1.5.1两个以上供应商可以组成一个联合体，以一个供应商的身份参与。</w:t>
      </w:r>
    </w:p>
    <w:p w14:paraId="7D2B0650">
      <w:pPr>
        <w:spacing w:line="360" w:lineRule="auto"/>
        <w:ind w:firstLine="435"/>
        <w:rPr>
          <w:rFonts w:ascii="宋体" w:hAnsi="宋体" w:cs="宋体"/>
          <w:sz w:val="24"/>
        </w:rPr>
      </w:pPr>
      <w:r>
        <w:rPr>
          <w:rFonts w:hint="eastAsia" w:ascii="宋体" w:hAnsi="宋体" w:cs="宋体"/>
          <w:sz w:val="24"/>
        </w:rPr>
        <w:t>1.5.2发包人根据采购项目对供应商的特殊要求，联合体中至少应当有一方符合相关规定。</w:t>
      </w:r>
    </w:p>
    <w:p w14:paraId="149B5121">
      <w:pPr>
        <w:spacing w:line="360" w:lineRule="auto"/>
        <w:ind w:firstLine="435"/>
        <w:rPr>
          <w:rFonts w:ascii="宋体" w:hAnsi="宋体" w:cs="宋体"/>
          <w:sz w:val="24"/>
        </w:rPr>
      </w:pPr>
      <w:r>
        <w:rPr>
          <w:rFonts w:hint="eastAsia" w:ascii="宋体" w:hAnsi="宋体" w:cs="宋体"/>
          <w:sz w:val="24"/>
        </w:rPr>
        <w:t>1.5.3联合体各方应签订联合协议，明确约定联合体各方承担的工作和相应的责任，并将联合协议作为响应文件的一部分提交。</w:t>
      </w:r>
    </w:p>
    <w:p w14:paraId="1D019651">
      <w:pPr>
        <w:spacing w:line="360" w:lineRule="auto"/>
        <w:ind w:firstLine="435"/>
        <w:rPr>
          <w:rFonts w:ascii="宋体" w:hAnsi="宋体" w:cs="宋体"/>
          <w:sz w:val="24"/>
        </w:rPr>
      </w:pPr>
      <w:r>
        <w:rPr>
          <w:rFonts w:hint="eastAsia" w:ascii="宋体" w:hAnsi="宋体" w:cs="宋体"/>
          <w:sz w:val="24"/>
        </w:rPr>
        <w:t>1.5.4大中型企业、其他自然人、法人或者非法人组织与小型、微型企业组成联合体共同参加评审，联合协议中应写明小型、微型企业的协议合同金额占到联合协议合同总金额的比例。</w:t>
      </w:r>
    </w:p>
    <w:p w14:paraId="4CD41316">
      <w:pPr>
        <w:spacing w:line="360" w:lineRule="auto"/>
        <w:ind w:firstLine="435"/>
        <w:rPr>
          <w:rFonts w:ascii="宋体" w:hAnsi="宋体" w:cs="宋体"/>
          <w:sz w:val="24"/>
        </w:rPr>
      </w:pPr>
      <w:r>
        <w:rPr>
          <w:rFonts w:hint="eastAsia" w:ascii="宋体" w:hAnsi="宋体" w:cs="宋体"/>
          <w:sz w:val="24"/>
        </w:rPr>
        <w:t>1.5.5联合体中有同类资质的供应商按照联合体分工承担相同工作的，应当按照资质等级较低的供应商确定资质等级。</w:t>
      </w:r>
    </w:p>
    <w:p w14:paraId="4D0F0725">
      <w:pPr>
        <w:spacing w:line="360" w:lineRule="auto"/>
        <w:ind w:firstLine="435"/>
        <w:rPr>
          <w:rFonts w:ascii="宋体" w:hAnsi="宋体" w:cs="宋体"/>
          <w:sz w:val="24"/>
        </w:rPr>
      </w:pPr>
      <w:r>
        <w:rPr>
          <w:rFonts w:hint="eastAsia" w:ascii="宋体" w:hAnsi="宋体" w:cs="宋体"/>
          <w:sz w:val="24"/>
        </w:rPr>
        <w:t>1.5.6以联合体形式参加采购活动的，联合体各方不得再单独参加或者与其他供应商另外组成联合体参加本项目评审，否则相关响应文件将被认定为</w:t>
      </w:r>
      <w:r>
        <w:rPr>
          <w:rFonts w:hint="eastAsia" w:ascii="宋体" w:hAnsi="宋体" w:cs="宋体"/>
          <w:b/>
          <w:sz w:val="24"/>
        </w:rPr>
        <w:t>响应无效</w:t>
      </w:r>
      <w:r>
        <w:rPr>
          <w:rFonts w:hint="eastAsia" w:ascii="宋体" w:hAnsi="宋体" w:cs="宋体"/>
          <w:sz w:val="24"/>
        </w:rPr>
        <w:t>。</w:t>
      </w:r>
    </w:p>
    <w:p w14:paraId="04EE093F">
      <w:pPr>
        <w:spacing w:line="360" w:lineRule="auto"/>
        <w:ind w:firstLine="435"/>
        <w:rPr>
          <w:rFonts w:ascii="宋体" w:hAnsi="宋体" w:cs="宋体"/>
          <w:sz w:val="24"/>
        </w:rPr>
      </w:pPr>
      <w:r>
        <w:rPr>
          <w:rFonts w:hint="eastAsia" w:ascii="宋体" w:hAnsi="宋体" w:cs="宋体"/>
          <w:sz w:val="24"/>
        </w:rPr>
        <w:t>1.5.7对联合体参加发包的其他资格要求见申请人的资格要求。</w:t>
      </w:r>
    </w:p>
    <w:p w14:paraId="742A032E">
      <w:pPr>
        <w:spacing w:line="360" w:lineRule="auto"/>
        <w:ind w:firstLine="437"/>
        <w:outlineLvl w:val="2"/>
        <w:rPr>
          <w:rFonts w:ascii="宋体" w:hAnsi="宋体" w:cs="宋体"/>
          <w:b/>
          <w:sz w:val="24"/>
        </w:rPr>
      </w:pPr>
      <w:r>
        <w:rPr>
          <w:rFonts w:hint="eastAsia" w:ascii="宋体" w:hAnsi="宋体" w:cs="宋体"/>
          <w:b/>
          <w:sz w:val="24"/>
        </w:rPr>
        <w:t>2.资金落实情况</w:t>
      </w:r>
    </w:p>
    <w:p w14:paraId="6E203575">
      <w:pPr>
        <w:spacing w:line="360" w:lineRule="auto"/>
        <w:ind w:firstLine="435"/>
        <w:rPr>
          <w:rFonts w:ascii="宋体" w:hAnsi="宋体" w:cs="宋体"/>
          <w:sz w:val="24"/>
        </w:rPr>
      </w:pPr>
      <w:r>
        <w:rPr>
          <w:rFonts w:hint="eastAsia" w:ascii="宋体" w:hAnsi="宋体" w:cs="宋体"/>
          <w:sz w:val="24"/>
        </w:rPr>
        <w:t>2.1本项目的发包人已获得足以支付本次发包后所签订的合同项下的资金。</w:t>
      </w:r>
    </w:p>
    <w:p w14:paraId="21749CE7">
      <w:pPr>
        <w:spacing w:line="360" w:lineRule="auto"/>
        <w:ind w:firstLine="437"/>
        <w:outlineLvl w:val="2"/>
        <w:rPr>
          <w:rFonts w:ascii="宋体" w:hAnsi="宋体" w:cs="宋体"/>
          <w:b/>
          <w:sz w:val="24"/>
        </w:rPr>
      </w:pPr>
      <w:r>
        <w:rPr>
          <w:rFonts w:hint="eastAsia" w:ascii="宋体" w:hAnsi="宋体" w:cs="宋体"/>
          <w:b/>
          <w:sz w:val="24"/>
        </w:rPr>
        <w:t>3.发包费用</w:t>
      </w:r>
    </w:p>
    <w:p w14:paraId="0E7E620F">
      <w:pPr>
        <w:spacing w:line="360" w:lineRule="auto"/>
        <w:ind w:firstLine="480" w:firstLineChars="200"/>
        <w:outlineLvl w:val="2"/>
        <w:rPr>
          <w:rFonts w:ascii="宋体" w:hAnsi="宋体" w:cs="宋体"/>
          <w:sz w:val="24"/>
        </w:rPr>
      </w:pPr>
      <w:r>
        <w:rPr>
          <w:rFonts w:hint="eastAsia" w:ascii="宋体" w:hAnsi="宋体" w:cs="宋体"/>
          <w:sz w:val="24"/>
        </w:rPr>
        <w:t>不论评审的结果如何，供应商应承担其所有与准备和参加评审有关的费用。</w:t>
      </w:r>
    </w:p>
    <w:p w14:paraId="601D8968">
      <w:pPr>
        <w:spacing w:line="360" w:lineRule="auto"/>
        <w:ind w:firstLine="482" w:firstLineChars="200"/>
        <w:outlineLvl w:val="2"/>
        <w:rPr>
          <w:rFonts w:ascii="宋体" w:hAnsi="宋体" w:cs="宋体"/>
          <w:b/>
          <w:sz w:val="24"/>
        </w:rPr>
      </w:pPr>
      <w:r>
        <w:rPr>
          <w:rFonts w:hint="eastAsia" w:ascii="宋体" w:hAnsi="宋体" w:cs="宋体"/>
          <w:b/>
          <w:sz w:val="24"/>
        </w:rPr>
        <w:t>4.适用法律</w:t>
      </w:r>
    </w:p>
    <w:p w14:paraId="6C3F7AEB">
      <w:pPr>
        <w:spacing w:line="360" w:lineRule="auto"/>
        <w:ind w:firstLine="480" w:firstLineChars="200"/>
        <w:outlineLvl w:val="2"/>
        <w:rPr>
          <w:rFonts w:ascii="宋体" w:hAnsi="宋体" w:cs="宋体"/>
          <w:sz w:val="24"/>
        </w:rPr>
      </w:pPr>
      <w:r>
        <w:rPr>
          <w:rFonts w:hint="eastAsia" w:ascii="宋体" w:hAnsi="宋体" w:cs="宋体"/>
          <w:sz w:val="24"/>
        </w:rPr>
        <w:t>本项目发包人、代理机构、供应商、评审小组的相关行为均受相关法律法规及本项目本级和上级有关部门的采购有关规定的约束，其权利受到法律法规的保护。</w:t>
      </w:r>
    </w:p>
    <w:p w14:paraId="5C0E8EB8">
      <w:pPr>
        <w:spacing w:line="360" w:lineRule="auto"/>
        <w:ind w:firstLine="437"/>
        <w:outlineLvl w:val="2"/>
        <w:rPr>
          <w:rFonts w:ascii="宋体" w:hAnsi="宋体" w:cs="宋体"/>
          <w:b/>
          <w:sz w:val="24"/>
        </w:rPr>
      </w:pPr>
      <w:r>
        <w:rPr>
          <w:rFonts w:hint="eastAsia" w:ascii="宋体" w:hAnsi="宋体" w:cs="宋体"/>
          <w:b/>
          <w:sz w:val="24"/>
        </w:rPr>
        <w:t>5.发包文件构成</w:t>
      </w:r>
    </w:p>
    <w:p w14:paraId="27581D33">
      <w:pPr>
        <w:spacing w:line="360" w:lineRule="auto"/>
        <w:ind w:firstLine="435"/>
        <w:rPr>
          <w:rFonts w:ascii="宋体" w:hAnsi="宋体" w:cs="宋体"/>
          <w:sz w:val="24"/>
        </w:rPr>
      </w:pPr>
      <w:r>
        <w:rPr>
          <w:rFonts w:hint="eastAsia" w:ascii="宋体" w:hAnsi="宋体" w:cs="宋体"/>
          <w:sz w:val="24"/>
        </w:rPr>
        <w:t>5.1发包文件包括下列内容：</w:t>
      </w:r>
    </w:p>
    <w:p w14:paraId="16B7CDFC">
      <w:pPr>
        <w:spacing w:line="360" w:lineRule="auto"/>
        <w:ind w:firstLine="840" w:firstLineChars="350"/>
        <w:rPr>
          <w:rFonts w:ascii="宋体" w:hAnsi="宋体" w:cs="宋体"/>
          <w:sz w:val="24"/>
        </w:rPr>
      </w:pPr>
      <w:r>
        <w:rPr>
          <w:rFonts w:hint="eastAsia" w:ascii="宋体" w:hAnsi="宋体" w:cs="宋体"/>
          <w:sz w:val="24"/>
        </w:rPr>
        <w:t>第一章  采购公告</w:t>
      </w:r>
    </w:p>
    <w:p w14:paraId="4BADBFEA">
      <w:pPr>
        <w:spacing w:line="360" w:lineRule="auto"/>
        <w:ind w:firstLine="840" w:firstLineChars="350"/>
        <w:rPr>
          <w:rFonts w:ascii="宋体" w:hAnsi="宋体" w:cs="宋体"/>
          <w:sz w:val="24"/>
        </w:rPr>
      </w:pPr>
      <w:r>
        <w:rPr>
          <w:rFonts w:hint="eastAsia" w:ascii="宋体" w:hAnsi="宋体" w:cs="宋体"/>
          <w:sz w:val="24"/>
        </w:rPr>
        <w:t>第二章  供应商须知</w:t>
      </w:r>
    </w:p>
    <w:p w14:paraId="30BC028F">
      <w:pPr>
        <w:spacing w:line="360" w:lineRule="auto"/>
        <w:ind w:firstLine="840" w:firstLineChars="350"/>
        <w:rPr>
          <w:rFonts w:ascii="宋体" w:hAnsi="宋体" w:cs="宋体"/>
          <w:sz w:val="24"/>
        </w:rPr>
      </w:pPr>
      <w:r>
        <w:rPr>
          <w:rFonts w:hint="eastAsia" w:ascii="宋体" w:hAnsi="宋体" w:cs="宋体"/>
          <w:sz w:val="24"/>
        </w:rPr>
        <w:t>第三章  采购需求</w:t>
      </w:r>
    </w:p>
    <w:p w14:paraId="0E89BADA">
      <w:pPr>
        <w:spacing w:line="360" w:lineRule="auto"/>
        <w:ind w:firstLine="840" w:firstLineChars="350"/>
        <w:rPr>
          <w:rFonts w:ascii="宋体" w:hAnsi="宋体" w:cs="宋体"/>
          <w:sz w:val="24"/>
        </w:rPr>
      </w:pPr>
      <w:r>
        <w:rPr>
          <w:rFonts w:hint="eastAsia" w:ascii="宋体" w:hAnsi="宋体" w:cs="宋体"/>
          <w:sz w:val="24"/>
        </w:rPr>
        <w:t>第四章  评审方法和标准</w:t>
      </w:r>
    </w:p>
    <w:p w14:paraId="17EADF2C">
      <w:pPr>
        <w:spacing w:line="360" w:lineRule="auto"/>
        <w:ind w:firstLine="840" w:firstLineChars="350"/>
        <w:rPr>
          <w:rFonts w:ascii="宋体" w:hAnsi="宋体" w:cs="宋体"/>
          <w:sz w:val="24"/>
        </w:rPr>
      </w:pPr>
      <w:r>
        <w:rPr>
          <w:rFonts w:hint="eastAsia" w:ascii="宋体" w:hAnsi="宋体" w:cs="宋体"/>
          <w:sz w:val="24"/>
        </w:rPr>
        <w:t>第五章  采购合同</w:t>
      </w:r>
    </w:p>
    <w:p w14:paraId="33209A2B">
      <w:pPr>
        <w:spacing w:line="360" w:lineRule="auto"/>
        <w:ind w:firstLine="840" w:firstLineChars="350"/>
        <w:rPr>
          <w:rFonts w:ascii="宋体" w:hAnsi="宋体" w:cs="宋体"/>
          <w:sz w:val="24"/>
        </w:rPr>
      </w:pPr>
      <w:r>
        <w:rPr>
          <w:rFonts w:hint="eastAsia" w:ascii="宋体" w:hAnsi="宋体" w:cs="宋体"/>
          <w:sz w:val="24"/>
        </w:rPr>
        <w:t>第六章  响应文件格式</w:t>
      </w:r>
    </w:p>
    <w:p w14:paraId="5D3ED33E">
      <w:pPr>
        <w:spacing w:line="360" w:lineRule="auto"/>
        <w:ind w:firstLine="435"/>
        <w:rPr>
          <w:rFonts w:ascii="宋体" w:hAnsi="宋体" w:cs="宋体"/>
          <w:sz w:val="24"/>
        </w:rPr>
      </w:pPr>
      <w:r>
        <w:rPr>
          <w:rFonts w:hint="eastAsia" w:ascii="宋体" w:hAnsi="宋体" w:cs="宋体"/>
          <w:sz w:val="24"/>
        </w:rPr>
        <w:t>5.2现场考察及相关事项见</w:t>
      </w:r>
      <w:r>
        <w:rPr>
          <w:rFonts w:hint="eastAsia" w:ascii="宋体" w:hAnsi="宋体" w:cs="宋体"/>
          <w:sz w:val="24"/>
          <w:u w:val="single"/>
        </w:rPr>
        <w:t>供应商须知前附表</w:t>
      </w:r>
      <w:r>
        <w:rPr>
          <w:rFonts w:hint="eastAsia" w:ascii="宋体" w:hAnsi="宋体" w:cs="宋体"/>
          <w:sz w:val="24"/>
        </w:rPr>
        <w:t>。</w:t>
      </w:r>
    </w:p>
    <w:p w14:paraId="3F67427B">
      <w:pPr>
        <w:spacing w:line="360" w:lineRule="auto"/>
        <w:ind w:firstLine="435"/>
        <w:rPr>
          <w:rFonts w:ascii="宋体" w:hAnsi="宋体" w:cs="宋体"/>
          <w:sz w:val="24"/>
        </w:rPr>
      </w:pPr>
      <w:r>
        <w:rPr>
          <w:rFonts w:hint="eastAsia" w:ascii="宋体" w:hAnsi="宋体" w:cs="宋体"/>
          <w:sz w:val="24"/>
        </w:rPr>
        <w:t>5.3供应商应认真阅读发包文件所有的事项、格式、条款和技术规范等。</w:t>
      </w:r>
    </w:p>
    <w:p w14:paraId="6F5C5A72">
      <w:pPr>
        <w:spacing w:line="360" w:lineRule="auto"/>
        <w:ind w:firstLine="437"/>
        <w:outlineLvl w:val="2"/>
        <w:rPr>
          <w:rFonts w:ascii="宋体" w:hAnsi="宋体" w:cs="宋体"/>
          <w:b/>
          <w:sz w:val="24"/>
        </w:rPr>
      </w:pPr>
      <w:r>
        <w:rPr>
          <w:rFonts w:hint="eastAsia" w:ascii="宋体" w:hAnsi="宋体" w:cs="宋体"/>
          <w:b/>
          <w:sz w:val="24"/>
        </w:rPr>
        <w:t>6.发包文件的澄清与修改</w:t>
      </w:r>
    </w:p>
    <w:p w14:paraId="0E409A34">
      <w:pPr>
        <w:spacing w:line="360" w:lineRule="auto"/>
        <w:ind w:firstLine="435"/>
        <w:rPr>
          <w:rFonts w:ascii="宋体" w:hAnsi="宋体" w:cs="宋体"/>
          <w:sz w:val="24"/>
        </w:rPr>
      </w:pPr>
      <w:r>
        <w:rPr>
          <w:rFonts w:hint="eastAsia" w:ascii="宋体" w:hAnsi="宋体" w:cs="宋体"/>
          <w:sz w:val="24"/>
        </w:rPr>
        <w:t>6.1供应商如对发包文件内容有疑问，可通过</w:t>
      </w:r>
      <w:r>
        <w:rPr>
          <w:rFonts w:hint="eastAsia" w:ascii="宋体" w:hAnsi="宋体" w:cs="宋体"/>
          <w:sz w:val="24"/>
          <w:u w:val="single"/>
        </w:rPr>
        <w:t>供应商须知前附表</w:t>
      </w:r>
      <w:r>
        <w:rPr>
          <w:rFonts w:hint="eastAsia" w:ascii="宋体" w:hAnsi="宋体" w:cs="宋体"/>
          <w:sz w:val="24"/>
        </w:rPr>
        <w:t>规定的提问形式提交给发包人（代理机构）。</w:t>
      </w:r>
    </w:p>
    <w:p w14:paraId="5DA688B5">
      <w:pPr>
        <w:spacing w:line="360" w:lineRule="auto"/>
        <w:ind w:firstLine="435"/>
        <w:rPr>
          <w:rFonts w:ascii="宋体" w:hAnsi="宋体" w:cs="宋体"/>
          <w:sz w:val="24"/>
        </w:rPr>
      </w:pPr>
      <w:r>
        <w:rPr>
          <w:rFonts w:hint="eastAsia" w:ascii="宋体" w:hAnsi="宋体" w:cs="宋体"/>
          <w:sz w:val="24"/>
        </w:rPr>
        <w:t>6.2发包人（代理机构）可主动地或在答复供应商提出的询问时对发包文件进行澄清与修改。发包人（代理机构）将在六安市教育体育局官网以发布更正公告的方式澄清或者修改发包文件，更正公告的内容作为发包文件的组成部分，对供应商起约束作用。供应商应主动上网查询。发包人（代理机构）不承担供应商未及时关注相关信息引发的相关责任。</w:t>
      </w:r>
    </w:p>
    <w:p w14:paraId="6FB1FC63">
      <w:pPr>
        <w:spacing w:line="360" w:lineRule="auto"/>
        <w:ind w:firstLine="435"/>
        <w:rPr>
          <w:rFonts w:ascii="宋体" w:hAnsi="宋体" w:cs="宋体"/>
          <w:sz w:val="24"/>
        </w:rPr>
      </w:pPr>
      <w:r>
        <w:rPr>
          <w:rFonts w:hint="eastAsia" w:ascii="宋体" w:hAnsi="宋体" w:cs="宋体"/>
          <w:sz w:val="24"/>
        </w:rPr>
        <w:t>6.3任何人或任何组织向供应商提供的任何书面或口头资料，未经发包人（代理机构）在网上发布或书面通知，均作无效处理，不得作为发包文件的组成部分。发包人（代理机构）对供应商由此而做出的推论、理解和结论概不负责。</w:t>
      </w:r>
    </w:p>
    <w:p w14:paraId="60BA47BA">
      <w:pPr>
        <w:spacing w:line="360" w:lineRule="auto"/>
        <w:ind w:firstLine="435"/>
        <w:rPr>
          <w:rFonts w:ascii="宋体" w:hAnsi="宋体" w:cs="宋体"/>
          <w:iCs/>
          <w:sz w:val="24"/>
        </w:rPr>
      </w:pPr>
      <w:r>
        <w:rPr>
          <w:rFonts w:hint="eastAsia" w:ascii="宋体" w:hAnsi="宋体" w:cs="宋体"/>
          <w:sz w:val="24"/>
        </w:rPr>
        <w:t>6.4对于没有提出询问又参与了本项目的供应商将被视为完全认同本发包文件（含更正公告的内容）。</w:t>
      </w:r>
    </w:p>
    <w:p w14:paraId="7845A990">
      <w:pPr>
        <w:spacing w:line="360" w:lineRule="auto"/>
        <w:ind w:firstLine="437"/>
        <w:outlineLvl w:val="2"/>
        <w:rPr>
          <w:rFonts w:ascii="宋体" w:hAnsi="宋体" w:cs="宋体"/>
          <w:b/>
          <w:sz w:val="24"/>
        </w:rPr>
      </w:pPr>
      <w:r>
        <w:rPr>
          <w:rFonts w:hint="eastAsia" w:ascii="宋体" w:hAnsi="宋体" w:cs="宋体"/>
          <w:b/>
          <w:sz w:val="24"/>
        </w:rPr>
        <w:t>7.发包范围及响应文件中标准和计量单位的使用</w:t>
      </w:r>
    </w:p>
    <w:p w14:paraId="57EB319B">
      <w:pPr>
        <w:spacing w:line="360" w:lineRule="auto"/>
        <w:ind w:firstLine="435"/>
        <w:rPr>
          <w:rFonts w:ascii="宋体" w:hAnsi="宋体" w:cs="宋体"/>
          <w:sz w:val="24"/>
        </w:rPr>
      </w:pPr>
      <w:r>
        <w:rPr>
          <w:rFonts w:hint="eastAsia" w:ascii="宋体" w:hAnsi="宋体" w:cs="宋体"/>
          <w:sz w:val="24"/>
        </w:rPr>
        <w:t>7.1项目有分包的，供应商可参与其中某一个或多个分包的，成交包数详见</w:t>
      </w:r>
      <w:r>
        <w:rPr>
          <w:rFonts w:hint="eastAsia" w:ascii="宋体" w:hAnsi="宋体" w:cs="宋体"/>
          <w:sz w:val="24"/>
          <w:u w:val="single"/>
        </w:rPr>
        <w:t>供应商须知前附表</w:t>
      </w:r>
      <w:r>
        <w:rPr>
          <w:rFonts w:hint="eastAsia" w:ascii="宋体" w:hAnsi="宋体" w:cs="宋体"/>
          <w:sz w:val="24"/>
        </w:rPr>
        <w:t>中规定。</w:t>
      </w:r>
    </w:p>
    <w:p w14:paraId="477459D2">
      <w:pPr>
        <w:spacing w:line="360" w:lineRule="auto"/>
        <w:ind w:firstLine="435"/>
        <w:rPr>
          <w:rFonts w:ascii="宋体" w:hAnsi="宋体" w:cs="宋体"/>
        </w:rPr>
      </w:pPr>
      <w:r>
        <w:rPr>
          <w:rFonts w:hint="eastAsia" w:ascii="宋体" w:hAnsi="宋体" w:cs="宋体"/>
          <w:sz w:val="24"/>
        </w:rPr>
        <w:t>7.2 供应商应当对所投分包发包文件中“采购需求”所列的所有内容进行响应，如仅响应所投包别中的部分内容，其所投包别的响应将被认定为</w:t>
      </w:r>
      <w:r>
        <w:rPr>
          <w:rFonts w:hint="eastAsia" w:ascii="宋体" w:hAnsi="宋体" w:cs="宋体"/>
          <w:b/>
          <w:sz w:val="24"/>
        </w:rPr>
        <w:t>响应无效</w:t>
      </w:r>
      <w:r>
        <w:rPr>
          <w:rFonts w:hint="eastAsia" w:ascii="宋体" w:hAnsi="宋体" w:cs="宋体"/>
          <w:sz w:val="24"/>
        </w:rPr>
        <w:t>。</w:t>
      </w:r>
    </w:p>
    <w:p w14:paraId="1ACA9C55">
      <w:pPr>
        <w:spacing w:line="360" w:lineRule="auto"/>
        <w:ind w:firstLine="435"/>
        <w:rPr>
          <w:rFonts w:ascii="宋体" w:hAnsi="宋体" w:cs="宋体"/>
          <w:sz w:val="24"/>
        </w:rPr>
      </w:pPr>
      <w:r>
        <w:rPr>
          <w:rFonts w:hint="eastAsia" w:ascii="宋体" w:hAnsi="宋体" w:cs="宋体"/>
          <w:sz w:val="24"/>
        </w:rPr>
        <w:t>7.3无论发包文件中是否要求，供应商所投服务及伴随的货物和工程均应符合国家强制性标准。</w:t>
      </w:r>
    </w:p>
    <w:p w14:paraId="13AED267">
      <w:pPr>
        <w:spacing w:line="360" w:lineRule="auto"/>
        <w:ind w:firstLine="435"/>
        <w:rPr>
          <w:rFonts w:ascii="宋体" w:hAnsi="宋体" w:cs="宋体"/>
          <w:sz w:val="24"/>
        </w:rPr>
      </w:pPr>
      <w:r>
        <w:rPr>
          <w:rFonts w:hint="eastAsia" w:ascii="宋体" w:hAnsi="宋体" w:cs="宋体"/>
          <w:sz w:val="24"/>
        </w:rPr>
        <w:t>7.4供应商与代理机构之间与评审有关的所有往来通知、函件和响应文件均用中文表述。供应商随响应文件提供的证明文件和资料可以为其它语言，但必须附中文译文。翻译的中文资料与外文资料如果出现差异时，以中文为准。</w:t>
      </w:r>
    </w:p>
    <w:p w14:paraId="45C8745C">
      <w:pPr>
        <w:spacing w:line="360" w:lineRule="auto"/>
        <w:ind w:firstLine="435"/>
        <w:rPr>
          <w:rFonts w:ascii="宋体" w:hAnsi="宋体" w:cs="宋体"/>
          <w:sz w:val="24"/>
        </w:rPr>
      </w:pPr>
      <w:r>
        <w:rPr>
          <w:rFonts w:hint="eastAsia" w:ascii="宋体" w:hAnsi="宋体" w:cs="宋体"/>
          <w:sz w:val="24"/>
        </w:rPr>
        <w:t>7.5除发包文件中有特殊要求外，响应文件中所使用的计量单位，应采用中华人民共和国法定计量单位。</w:t>
      </w:r>
    </w:p>
    <w:p w14:paraId="416A1318">
      <w:pPr>
        <w:spacing w:line="360" w:lineRule="auto"/>
        <w:ind w:firstLine="437"/>
        <w:outlineLvl w:val="2"/>
        <w:rPr>
          <w:rFonts w:ascii="宋体" w:hAnsi="宋体" w:cs="宋体"/>
          <w:b/>
          <w:sz w:val="24"/>
        </w:rPr>
      </w:pPr>
      <w:r>
        <w:rPr>
          <w:rFonts w:hint="eastAsia" w:ascii="宋体" w:hAnsi="宋体" w:cs="宋体"/>
          <w:b/>
          <w:sz w:val="24"/>
        </w:rPr>
        <w:t>8.响应文件构成</w:t>
      </w:r>
    </w:p>
    <w:p w14:paraId="01F64367">
      <w:pPr>
        <w:spacing w:line="360" w:lineRule="auto"/>
        <w:ind w:firstLine="435"/>
        <w:rPr>
          <w:rFonts w:ascii="宋体" w:hAnsi="宋体" w:cs="宋体"/>
          <w:sz w:val="24"/>
        </w:rPr>
      </w:pPr>
      <w:r>
        <w:rPr>
          <w:rFonts w:hint="eastAsia" w:ascii="宋体" w:hAnsi="宋体" w:cs="宋体"/>
          <w:sz w:val="24"/>
        </w:rPr>
        <w:t>8.1供应商应完整地按发包文件提供的响应文件格式及要求编写响应文件，具体内容详见本项目响应文件格式的相关内容。</w:t>
      </w:r>
    </w:p>
    <w:p w14:paraId="7DD6867B">
      <w:pPr>
        <w:spacing w:line="360" w:lineRule="auto"/>
        <w:ind w:firstLine="435"/>
        <w:rPr>
          <w:rFonts w:ascii="宋体" w:hAnsi="宋体" w:cs="宋体"/>
          <w:sz w:val="24"/>
        </w:rPr>
      </w:pPr>
      <w:r>
        <w:rPr>
          <w:rFonts w:hint="eastAsia" w:ascii="宋体" w:hAnsi="宋体" w:cs="宋体"/>
          <w:sz w:val="24"/>
        </w:rPr>
        <w:t>8.2供应商应提交发包文件要求的证明文件，证明其响应内容符合发包文件规定，该证明文件是响应文件的一部分。证明文件形式可以是文字资料、图纸和数据等。</w:t>
      </w:r>
    </w:p>
    <w:p w14:paraId="5BB2E1E6">
      <w:pPr>
        <w:spacing w:line="360" w:lineRule="auto"/>
        <w:ind w:firstLine="435"/>
        <w:rPr>
          <w:rFonts w:ascii="宋体" w:hAnsi="宋体" w:cs="宋体"/>
          <w:sz w:val="24"/>
        </w:rPr>
      </w:pPr>
      <w:r>
        <w:rPr>
          <w:rFonts w:hint="eastAsia" w:ascii="宋体" w:hAnsi="宋体" w:cs="宋体"/>
          <w:sz w:val="24"/>
        </w:rPr>
        <w:t>8.3为保证公平公正，除非另有规定或说明，供应商对同一项目，不得同时提供备选方案。</w:t>
      </w:r>
    </w:p>
    <w:p w14:paraId="2DF23A63">
      <w:pPr>
        <w:spacing w:line="360" w:lineRule="auto"/>
        <w:ind w:firstLine="437"/>
        <w:outlineLvl w:val="2"/>
        <w:rPr>
          <w:rFonts w:ascii="宋体" w:hAnsi="宋体" w:cs="宋体"/>
          <w:b/>
          <w:sz w:val="24"/>
        </w:rPr>
      </w:pPr>
      <w:r>
        <w:rPr>
          <w:rFonts w:hint="eastAsia" w:ascii="宋体" w:hAnsi="宋体" w:cs="宋体"/>
          <w:b/>
          <w:sz w:val="24"/>
        </w:rPr>
        <w:t>9.报价</w:t>
      </w:r>
    </w:p>
    <w:p w14:paraId="1F172B26">
      <w:pPr>
        <w:spacing w:line="360" w:lineRule="auto"/>
        <w:ind w:firstLine="435"/>
        <w:rPr>
          <w:rFonts w:ascii="宋体" w:hAnsi="宋体" w:cs="宋体"/>
          <w:sz w:val="24"/>
        </w:rPr>
      </w:pPr>
      <w:r>
        <w:rPr>
          <w:rFonts w:hint="eastAsia" w:ascii="宋体" w:hAnsi="宋体" w:cs="宋体"/>
          <w:sz w:val="24"/>
        </w:rPr>
        <w:t>9.1供应商的报价应当包括满足本次发包文件全部采购需求所应提供的货物，以及伴随的服务和工程。除发包文件另有规定外，所有内容均应以人民币报价，供应商的报价应遵守《中华人民共和国价格法》。</w:t>
      </w:r>
    </w:p>
    <w:p w14:paraId="4522520C">
      <w:pPr>
        <w:spacing w:line="360" w:lineRule="auto"/>
        <w:ind w:firstLine="435"/>
        <w:rPr>
          <w:rFonts w:ascii="宋体" w:hAnsi="宋体" w:cs="宋体"/>
          <w:sz w:val="24"/>
        </w:rPr>
      </w:pPr>
      <w:r>
        <w:rPr>
          <w:rFonts w:hint="eastAsia" w:ascii="宋体" w:hAnsi="宋体" w:cs="宋体"/>
          <w:sz w:val="24"/>
        </w:rPr>
        <w:t>9.2除非发包文件另有规定或经发包人同意支付的，响应报价均不得高于发包文件（公告）列明的项目预算，否则其响应文件将被认定为</w:t>
      </w:r>
      <w:r>
        <w:rPr>
          <w:rFonts w:hint="eastAsia" w:ascii="宋体" w:hAnsi="宋体" w:cs="宋体"/>
          <w:b/>
          <w:sz w:val="24"/>
        </w:rPr>
        <w:t>响应无效</w:t>
      </w:r>
      <w:r>
        <w:rPr>
          <w:rFonts w:hint="eastAsia" w:ascii="宋体" w:hAnsi="宋体" w:cs="宋体"/>
          <w:sz w:val="24"/>
        </w:rPr>
        <w:t>。</w:t>
      </w:r>
    </w:p>
    <w:p w14:paraId="716A97E5">
      <w:pPr>
        <w:spacing w:line="360" w:lineRule="auto"/>
        <w:ind w:firstLine="435"/>
        <w:rPr>
          <w:rFonts w:ascii="宋体" w:hAnsi="宋体" w:cs="宋体"/>
          <w:sz w:val="24"/>
        </w:rPr>
      </w:pPr>
      <w:r>
        <w:rPr>
          <w:rFonts w:hint="eastAsia" w:ascii="宋体" w:hAnsi="宋体" w:cs="宋体"/>
          <w:sz w:val="24"/>
        </w:rPr>
        <w:t>9.3报价在合同履行过程中是固定不变的，不得以任何理由予以变更。任何包含价格调整要求的，其响应文件将被认定为</w:t>
      </w:r>
      <w:r>
        <w:rPr>
          <w:rFonts w:hint="eastAsia" w:ascii="宋体" w:hAnsi="宋体" w:cs="宋体"/>
          <w:b/>
          <w:sz w:val="24"/>
        </w:rPr>
        <w:t>响应无效</w:t>
      </w:r>
      <w:r>
        <w:rPr>
          <w:rFonts w:hint="eastAsia" w:ascii="宋体" w:hAnsi="宋体" w:cs="宋体"/>
          <w:sz w:val="24"/>
        </w:rPr>
        <w:t>。</w:t>
      </w:r>
    </w:p>
    <w:p w14:paraId="422E819B">
      <w:pPr>
        <w:spacing w:line="360" w:lineRule="auto"/>
        <w:ind w:firstLine="435"/>
        <w:rPr>
          <w:rFonts w:ascii="宋体" w:hAnsi="宋体" w:cs="宋体"/>
          <w:sz w:val="24"/>
        </w:rPr>
      </w:pPr>
      <w:r>
        <w:rPr>
          <w:rFonts w:hint="eastAsia" w:ascii="宋体" w:hAnsi="宋体" w:cs="宋体"/>
          <w:sz w:val="24"/>
        </w:rPr>
        <w:t>9.4</w:t>
      </w:r>
      <w:r>
        <w:rPr>
          <w:rFonts w:hint="eastAsia" w:ascii="宋体" w:hAnsi="宋体" w:cs="宋体"/>
          <w:sz w:val="24"/>
          <w:szCs w:val="24"/>
        </w:rPr>
        <w:t>评审中出现</w:t>
      </w:r>
      <w:r>
        <w:rPr>
          <w:rFonts w:hint="eastAsia" w:ascii="宋体" w:hAnsi="宋体" w:cs="宋体"/>
          <w:sz w:val="24"/>
          <w:szCs w:val="24"/>
          <w:u w:val="single"/>
        </w:rPr>
        <w:t>供应商须知前附表</w:t>
      </w:r>
      <w:r>
        <w:rPr>
          <w:rFonts w:hint="eastAsia" w:ascii="宋体" w:hAnsi="宋体" w:cs="宋体"/>
          <w:sz w:val="24"/>
          <w:szCs w:val="24"/>
        </w:rPr>
        <w:t>所列情形之一的</w:t>
      </w:r>
      <w:r>
        <w:rPr>
          <w:rFonts w:hint="eastAsia" w:ascii="宋体" w:hAnsi="宋体" w:cs="宋体"/>
          <w:sz w:val="24"/>
        </w:rPr>
        <w:t>，评审小组应当启动异常低价响应审查程序。</w:t>
      </w:r>
    </w:p>
    <w:p w14:paraId="229C6526">
      <w:pPr>
        <w:spacing w:line="360" w:lineRule="auto"/>
        <w:ind w:firstLine="435"/>
        <w:rPr>
          <w:rFonts w:ascii="宋体" w:hAnsi="宋体" w:cs="宋体"/>
          <w:sz w:val="24"/>
        </w:rPr>
      </w:pPr>
      <w:r>
        <w:rPr>
          <w:rFonts w:hint="eastAsia" w:ascii="宋体" w:hAnsi="宋体" w:cs="宋体"/>
          <w:sz w:val="24"/>
        </w:rPr>
        <w:t>评审小组启动异常低价响应审查后，属于表中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cs="宋体"/>
          <w:b/>
          <w:bCs/>
          <w:sz w:val="24"/>
        </w:rPr>
        <w:t>其中，属于第3项情形，供应商已随响应文件一并提交相关书面说明及必要的证明材料的，在评审现场可不再重复提交。</w:t>
      </w:r>
    </w:p>
    <w:p w14:paraId="11FA70C6">
      <w:pPr>
        <w:spacing w:line="360" w:lineRule="auto"/>
        <w:ind w:firstLine="435"/>
        <w:rPr>
          <w:rFonts w:ascii="宋体" w:hAnsi="宋体" w:cs="宋体"/>
          <w:sz w:val="24"/>
        </w:rPr>
      </w:pPr>
      <w:r>
        <w:rPr>
          <w:rFonts w:hint="eastAsia" w:ascii="宋体" w:hAnsi="宋体" w:cs="宋体"/>
          <w:sz w:val="24"/>
        </w:rPr>
        <w:t>评审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其响应文件将被认定为</w:t>
      </w:r>
      <w:r>
        <w:rPr>
          <w:rFonts w:hint="eastAsia" w:ascii="宋体" w:hAnsi="宋体" w:cs="宋体"/>
          <w:b/>
          <w:bCs/>
          <w:sz w:val="24"/>
        </w:rPr>
        <w:t>响应无效</w:t>
      </w:r>
      <w:r>
        <w:rPr>
          <w:rFonts w:hint="eastAsia" w:ascii="宋体" w:hAnsi="宋体" w:cs="宋体"/>
          <w:sz w:val="24"/>
        </w:rPr>
        <w:t>。</w:t>
      </w:r>
    </w:p>
    <w:p w14:paraId="6758A42D">
      <w:pPr>
        <w:spacing w:line="360" w:lineRule="auto"/>
        <w:ind w:firstLine="435"/>
        <w:rPr>
          <w:rFonts w:ascii="宋体" w:hAnsi="宋体" w:cs="宋体"/>
          <w:sz w:val="24"/>
        </w:rPr>
      </w:pPr>
      <w:r>
        <w:rPr>
          <w:rFonts w:hint="eastAsia" w:ascii="宋体" w:hAnsi="宋体" w:cs="宋体"/>
          <w:sz w:val="24"/>
        </w:rPr>
        <w:t>9.5发包人不接受具有附加条件的报价。</w:t>
      </w:r>
    </w:p>
    <w:p w14:paraId="649258A9">
      <w:pPr>
        <w:spacing w:line="360" w:lineRule="auto"/>
        <w:ind w:firstLine="437"/>
        <w:outlineLvl w:val="2"/>
        <w:rPr>
          <w:rFonts w:ascii="宋体" w:hAnsi="宋体" w:cs="宋体"/>
          <w:b/>
          <w:sz w:val="24"/>
        </w:rPr>
      </w:pPr>
      <w:r>
        <w:rPr>
          <w:rFonts w:hint="eastAsia" w:ascii="宋体" w:hAnsi="宋体" w:cs="宋体"/>
          <w:b/>
          <w:sz w:val="24"/>
        </w:rPr>
        <w:t>10.发包保证金</w:t>
      </w:r>
    </w:p>
    <w:p w14:paraId="6379B07B">
      <w:pPr>
        <w:spacing w:line="360" w:lineRule="auto"/>
        <w:ind w:firstLine="435"/>
        <w:rPr>
          <w:rFonts w:ascii="宋体" w:hAnsi="宋体" w:cs="宋体"/>
          <w:sz w:val="24"/>
        </w:rPr>
      </w:pPr>
      <w:r>
        <w:rPr>
          <w:rFonts w:hint="eastAsia" w:ascii="宋体" w:hAnsi="宋体" w:cs="宋体"/>
          <w:sz w:val="24"/>
        </w:rPr>
        <w:t>10.1本项目不收取发包保证金。</w:t>
      </w:r>
    </w:p>
    <w:p w14:paraId="1DFB3259">
      <w:pPr>
        <w:spacing w:line="360" w:lineRule="auto"/>
        <w:ind w:firstLine="437"/>
        <w:outlineLvl w:val="2"/>
        <w:rPr>
          <w:rFonts w:ascii="宋体" w:hAnsi="宋体" w:cs="宋体"/>
          <w:b/>
          <w:sz w:val="24"/>
        </w:rPr>
      </w:pPr>
      <w:r>
        <w:rPr>
          <w:rFonts w:hint="eastAsia" w:ascii="宋体" w:hAnsi="宋体" w:cs="宋体"/>
          <w:b/>
          <w:sz w:val="24"/>
        </w:rPr>
        <w:t>11.响应有效期</w:t>
      </w:r>
    </w:p>
    <w:p w14:paraId="2671092F">
      <w:pPr>
        <w:spacing w:line="360" w:lineRule="auto"/>
        <w:ind w:firstLine="435"/>
        <w:rPr>
          <w:rFonts w:ascii="宋体" w:hAnsi="宋体" w:cs="宋体"/>
          <w:sz w:val="24"/>
        </w:rPr>
      </w:pPr>
      <w:r>
        <w:rPr>
          <w:rFonts w:hint="eastAsia" w:ascii="宋体" w:hAnsi="宋体" w:cs="宋体"/>
          <w:sz w:val="24"/>
        </w:rPr>
        <w:t>11.1响应有效期为从响应文件提交截止之日算起的日历天数，响应有效期详见</w:t>
      </w:r>
      <w:r>
        <w:rPr>
          <w:rFonts w:hint="eastAsia" w:ascii="宋体" w:hAnsi="宋体" w:cs="宋体"/>
          <w:sz w:val="24"/>
          <w:u w:val="single"/>
        </w:rPr>
        <w:t>供应商须知前附表</w:t>
      </w:r>
      <w:r>
        <w:rPr>
          <w:rFonts w:hint="eastAsia" w:ascii="宋体" w:hAnsi="宋体" w:cs="宋体"/>
          <w:sz w:val="24"/>
        </w:rPr>
        <w:t>。</w:t>
      </w:r>
    </w:p>
    <w:p w14:paraId="74B46ED9">
      <w:pPr>
        <w:spacing w:line="360" w:lineRule="auto"/>
        <w:ind w:firstLine="435"/>
        <w:rPr>
          <w:rFonts w:ascii="宋体" w:hAnsi="宋体" w:cs="宋体"/>
          <w:sz w:val="24"/>
        </w:rPr>
      </w:pPr>
      <w:r>
        <w:rPr>
          <w:rFonts w:hint="eastAsia" w:ascii="宋体" w:hAnsi="宋体" w:cs="宋体"/>
          <w:sz w:val="24"/>
        </w:rPr>
        <w:t>11.2在响应有效期内，供应商的发包保持有效，供应商不得要求撤销或修改其响应文件。响应有效期不满足要求的响应，其响应文件将被认定为</w:t>
      </w:r>
      <w:r>
        <w:rPr>
          <w:rFonts w:hint="eastAsia" w:ascii="宋体" w:hAnsi="宋体" w:cs="宋体"/>
          <w:b/>
          <w:sz w:val="24"/>
        </w:rPr>
        <w:t>响应无效</w:t>
      </w:r>
      <w:r>
        <w:rPr>
          <w:rFonts w:hint="eastAsia" w:ascii="宋体" w:hAnsi="宋体" w:cs="宋体"/>
          <w:sz w:val="24"/>
        </w:rPr>
        <w:t>。</w:t>
      </w:r>
    </w:p>
    <w:p w14:paraId="288F01A1">
      <w:pPr>
        <w:spacing w:line="360" w:lineRule="auto"/>
        <w:ind w:firstLine="435"/>
        <w:rPr>
          <w:rFonts w:ascii="宋体" w:hAnsi="宋体" w:cs="宋体"/>
          <w:sz w:val="24"/>
        </w:rPr>
      </w:pPr>
      <w:r>
        <w:rPr>
          <w:rFonts w:hint="eastAsia" w:ascii="宋体" w:hAnsi="宋体" w:cs="宋体"/>
          <w:sz w:val="24"/>
        </w:rPr>
        <w:t>11.3为保证有充分时间签订合同，发包人或代理机构可根据实际情况，在原响应有效期截止之前，要求供应商延长响应有效期。接受该要求的供应商将不会被要求和允许修正其响应文件。供应商可以拒绝延长响应有效期的要求，且不承担任何责任。上述要求和答复都应以书面形式提交。</w:t>
      </w:r>
    </w:p>
    <w:p w14:paraId="6F2026D6">
      <w:pPr>
        <w:spacing w:line="360" w:lineRule="auto"/>
        <w:ind w:firstLine="437"/>
        <w:outlineLvl w:val="2"/>
        <w:rPr>
          <w:rFonts w:ascii="宋体" w:hAnsi="宋体" w:cs="宋体"/>
          <w:b/>
          <w:sz w:val="24"/>
        </w:rPr>
      </w:pPr>
      <w:r>
        <w:rPr>
          <w:rFonts w:hint="eastAsia" w:ascii="宋体" w:hAnsi="宋体" w:cs="宋体"/>
          <w:b/>
          <w:sz w:val="24"/>
        </w:rPr>
        <w:t>12.响应文件的提交、修改与撤回</w:t>
      </w:r>
    </w:p>
    <w:p w14:paraId="591AF80C">
      <w:pPr>
        <w:spacing w:line="360" w:lineRule="auto"/>
        <w:ind w:firstLine="435"/>
        <w:rPr>
          <w:rFonts w:ascii="宋体" w:hAnsi="宋体" w:cs="宋体"/>
          <w:sz w:val="24"/>
        </w:rPr>
      </w:pPr>
      <w:r>
        <w:rPr>
          <w:rFonts w:hint="eastAsia" w:ascii="宋体" w:hAnsi="宋体" w:cs="宋体"/>
          <w:sz w:val="24"/>
        </w:rPr>
        <w:t>12.1供应商应当在采购公告规定的响应文件提交截止时间前，现场递交响应文件。</w:t>
      </w:r>
    </w:p>
    <w:p w14:paraId="33996E3F">
      <w:pPr>
        <w:spacing w:line="360" w:lineRule="auto"/>
        <w:ind w:firstLine="435"/>
        <w:rPr>
          <w:rFonts w:ascii="宋体" w:hAnsi="宋体" w:cs="宋体"/>
          <w:sz w:val="24"/>
        </w:rPr>
      </w:pPr>
      <w:r>
        <w:rPr>
          <w:rFonts w:hint="eastAsia" w:ascii="宋体" w:hAnsi="宋体" w:cs="宋体"/>
          <w:sz w:val="24"/>
        </w:rPr>
        <w:t>12.2供应商应当在响应文件提交截止时间前完成响应文件的提交，并可以补充、修改或者撤回响应文件。响应文件提交截止时间前未完成响应文件递交的，视为撤回响应文件。未按规定密封或响应文件提交截止时间后送达的响应文件，应当拒收。</w:t>
      </w:r>
    </w:p>
    <w:p w14:paraId="738ADABC">
      <w:pPr>
        <w:spacing w:line="360" w:lineRule="auto"/>
        <w:ind w:firstLine="435"/>
        <w:rPr>
          <w:rFonts w:ascii="宋体" w:hAnsi="宋体" w:cs="宋体"/>
          <w:sz w:val="24"/>
        </w:rPr>
      </w:pPr>
      <w:r>
        <w:rPr>
          <w:rFonts w:hint="eastAsia" w:ascii="宋体" w:hAnsi="宋体" w:cs="宋体"/>
          <w:sz w:val="24"/>
        </w:rPr>
        <w:t>12.3在响应文件提交截止时间之后，供应商不得对其响应文件做任何修改。但属于评审小组在评审中发现的计算错误并进行核实的修改、按照发包文件的变动情况和评审小组的要求重新提交响应文件的，不在此列。</w:t>
      </w:r>
    </w:p>
    <w:p w14:paraId="508720E1">
      <w:pPr>
        <w:spacing w:line="360" w:lineRule="auto"/>
        <w:ind w:firstLine="437"/>
        <w:outlineLvl w:val="2"/>
        <w:rPr>
          <w:rFonts w:ascii="宋体" w:hAnsi="宋体" w:cs="宋体"/>
          <w:b/>
          <w:sz w:val="24"/>
        </w:rPr>
      </w:pPr>
      <w:r>
        <w:rPr>
          <w:rFonts w:hint="eastAsia" w:ascii="宋体" w:hAnsi="宋体" w:cs="宋体"/>
          <w:b/>
          <w:sz w:val="24"/>
        </w:rPr>
        <w:t>13.评审小组</w:t>
      </w:r>
    </w:p>
    <w:p w14:paraId="27F09A63">
      <w:pPr>
        <w:spacing w:line="360" w:lineRule="auto"/>
        <w:ind w:firstLine="435"/>
        <w:rPr>
          <w:rFonts w:ascii="宋体" w:hAnsi="宋体" w:cs="宋体"/>
          <w:sz w:val="24"/>
        </w:rPr>
      </w:pPr>
      <w:r>
        <w:rPr>
          <w:rFonts w:hint="eastAsia" w:ascii="宋体" w:hAnsi="宋体" w:cs="宋体"/>
          <w:sz w:val="24"/>
        </w:rPr>
        <w:t>13.1本项目将依法组建评审小组，评审小组成员由3人以上（含）单数组成，评审小组及其成员应当依照采购的有关规定履行相关职责和义务。本项目评审小组人数：</w:t>
      </w:r>
      <w:r>
        <w:rPr>
          <w:rFonts w:hint="eastAsia" w:ascii="宋体" w:hAnsi="宋体" w:cs="宋体"/>
          <w:sz w:val="24"/>
          <w:u w:val="single"/>
        </w:rPr>
        <w:t>见供应商须知前附表</w:t>
      </w:r>
      <w:r>
        <w:rPr>
          <w:rFonts w:hint="eastAsia" w:ascii="宋体" w:hAnsi="宋体" w:cs="宋体"/>
          <w:sz w:val="24"/>
        </w:rPr>
        <w:t>。</w:t>
      </w:r>
    </w:p>
    <w:p w14:paraId="2751146B">
      <w:pPr>
        <w:spacing w:line="360" w:lineRule="auto"/>
        <w:ind w:firstLine="435"/>
        <w:rPr>
          <w:rFonts w:ascii="宋体" w:hAnsi="宋体" w:cs="宋体"/>
          <w:sz w:val="24"/>
        </w:rPr>
      </w:pPr>
      <w:r>
        <w:rPr>
          <w:rFonts w:hint="eastAsia" w:ascii="宋体" w:hAnsi="宋体" w:cs="宋体"/>
          <w:sz w:val="24"/>
        </w:rPr>
        <w:t>13.2评审小组依法对响应文件进行评审，并根据发包文件规定的程序、评定成交的标准等事项与实质性响应发包文件要求的供应商进行评审。</w:t>
      </w:r>
    </w:p>
    <w:p w14:paraId="719E8988">
      <w:pPr>
        <w:spacing w:line="360" w:lineRule="auto"/>
        <w:ind w:firstLine="435"/>
        <w:rPr>
          <w:rFonts w:ascii="宋体" w:hAnsi="宋体" w:cs="宋体"/>
          <w:sz w:val="24"/>
        </w:rPr>
      </w:pPr>
      <w:r>
        <w:rPr>
          <w:rFonts w:hint="eastAsia" w:ascii="宋体" w:hAnsi="宋体" w:cs="宋体"/>
          <w:sz w:val="24"/>
        </w:rPr>
        <w:t>13.3评审小组应当从质量和服务均能满足发包文件实质性响应要求的供应商中，按照评审方法和标准推荐成交候选供应商，并编写评审报告。</w:t>
      </w:r>
    </w:p>
    <w:p w14:paraId="574DFFD8">
      <w:pPr>
        <w:spacing w:line="360" w:lineRule="auto"/>
        <w:ind w:firstLine="437"/>
        <w:outlineLvl w:val="2"/>
        <w:rPr>
          <w:rFonts w:ascii="宋体" w:hAnsi="宋体" w:cs="宋体"/>
          <w:b/>
          <w:sz w:val="24"/>
        </w:rPr>
      </w:pPr>
      <w:r>
        <w:rPr>
          <w:rFonts w:hint="eastAsia" w:ascii="宋体" w:hAnsi="宋体" w:cs="宋体"/>
          <w:b/>
          <w:sz w:val="24"/>
        </w:rPr>
        <w:t>14.响应文件的评审</w:t>
      </w:r>
    </w:p>
    <w:p w14:paraId="03036380">
      <w:pPr>
        <w:spacing w:line="360" w:lineRule="auto"/>
        <w:ind w:firstLine="435"/>
        <w:rPr>
          <w:rFonts w:ascii="宋体" w:hAnsi="宋体" w:cs="宋体"/>
          <w:sz w:val="24"/>
        </w:rPr>
      </w:pPr>
      <w:r>
        <w:rPr>
          <w:rFonts w:hint="eastAsia" w:ascii="宋体" w:hAnsi="宋体" w:cs="宋体"/>
          <w:sz w:val="24"/>
        </w:rPr>
        <w:t>14.1发包人和代理机构将在发包文件规定的时间和地点组织评审。</w:t>
      </w:r>
    </w:p>
    <w:p w14:paraId="7DD2DCE1">
      <w:pPr>
        <w:spacing w:line="360" w:lineRule="auto"/>
        <w:ind w:firstLine="435"/>
        <w:rPr>
          <w:rFonts w:ascii="宋体" w:hAnsi="宋体" w:cs="宋体"/>
          <w:sz w:val="24"/>
        </w:rPr>
      </w:pPr>
      <w:r>
        <w:rPr>
          <w:rFonts w:hint="eastAsia" w:ascii="宋体" w:hAnsi="宋体" w:cs="宋体"/>
          <w:sz w:val="24"/>
        </w:rPr>
        <w:t>14.2发包活动采用综合评分法评审。</w:t>
      </w:r>
    </w:p>
    <w:p w14:paraId="1A5EE531">
      <w:pPr>
        <w:spacing w:line="360" w:lineRule="auto"/>
        <w:ind w:firstLine="435"/>
        <w:rPr>
          <w:rFonts w:ascii="宋体" w:hAnsi="宋体" w:cs="宋体"/>
          <w:sz w:val="24"/>
        </w:rPr>
      </w:pPr>
      <w:r>
        <w:rPr>
          <w:rFonts w:hint="eastAsia" w:ascii="宋体" w:hAnsi="宋体" w:cs="宋体"/>
          <w:sz w:val="24"/>
        </w:rPr>
        <w:t>综合评分法，是指响应文件满足发包文件全部实质性要求且按评审因素的量化指标评审得分最高的供应商为成交候选供应商的评审方法。</w:t>
      </w:r>
    </w:p>
    <w:p w14:paraId="21D05D3B">
      <w:pPr>
        <w:spacing w:line="360" w:lineRule="auto"/>
        <w:ind w:firstLine="435"/>
        <w:rPr>
          <w:rFonts w:ascii="宋体" w:hAnsi="宋体" w:cs="宋体"/>
          <w:sz w:val="24"/>
        </w:rPr>
      </w:pPr>
      <w:r>
        <w:rPr>
          <w:rFonts w:hint="eastAsia" w:ascii="宋体" w:hAnsi="宋体" w:cs="宋体"/>
          <w:sz w:val="24"/>
        </w:rPr>
        <w:t>14.3评审小组将按照发包文件规定的评审方法和标准对供应商独立进行评审。评审程序如下：</w:t>
      </w:r>
    </w:p>
    <w:p w14:paraId="3405CB98">
      <w:pPr>
        <w:spacing w:line="360" w:lineRule="auto"/>
        <w:ind w:firstLine="435"/>
        <w:rPr>
          <w:rFonts w:ascii="宋体" w:hAnsi="宋体" w:cs="宋体"/>
          <w:sz w:val="24"/>
          <w:szCs w:val="24"/>
        </w:rPr>
      </w:pPr>
      <w:r>
        <w:rPr>
          <w:rFonts w:hint="eastAsia" w:ascii="宋体" w:hAnsi="宋体" w:cs="宋体"/>
          <w:sz w:val="24"/>
        </w:rPr>
        <w:t>14.3.1</w:t>
      </w:r>
      <w:r>
        <w:rPr>
          <w:rFonts w:hint="eastAsia" w:ascii="宋体" w:hAnsi="宋体" w:cs="宋体"/>
          <w:b/>
          <w:sz w:val="24"/>
        </w:rPr>
        <w:t>初审</w:t>
      </w:r>
      <w:r>
        <w:rPr>
          <w:rFonts w:hint="eastAsia" w:ascii="宋体" w:hAnsi="宋体" w:cs="宋体"/>
          <w:sz w:val="24"/>
        </w:rPr>
        <w:t>。</w:t>
      </w:r>
      <w:r>
        <w:rPr>
          <w:rFonts w:hint="eastAsia" w:ascii="宋体" w:hAnsi="宋体" w:cs="宋体"/>
          <w:sz w:val="24"/>
          <w:szCs w:val="24"/>
        </w:rPr>
        <w:t>发包人或代理机构依据法律法规和发包文件中规定的内容，对供应商资格进行审查，未通过资格审查的供应商不可参加后续评审。</w:t>
      </w:r>
    </w:p>
    <w:p w14:paraId="7662E2BD">
      <w:pPr>
        <w:spacing w:line="360" w:lineRule="auto"/>
        <w:ind w:firstLine="435"/>
        <w:rPr>
          <w:rFonts w:ascii="宋体" w:hAnsi="宋体" w:cs="宋体"/>
          <w:sz w:val="24"/>
          <w:szCs w:val="24"/>
        </w:rPr>
      </w:pPr>
      <w:r>
        <w:rPr>
          <w:rFonts w:hint="eastAsia" w:ascii="宋体" w:hAnsi="宋体" w:cs="宋体"/>
          <w:sz w:val="24"/>
          <w:szCs w:val="24"/>
        </w:rPr>
        <w:t>根据评审时“信用中国”网站(www.creditchina.gov.cn)的信息，对列入失信被执行人、重大税收违法案件当事人名单的供应商，拒绝其参与采购活动。两个以上的自然人、法人或者其他组织组成一个联合体，以一个投标人的身份共同参加采购活动的，应当对所有联合体成员进行信用记录查询，联合体成员之一存在不良信用记录的，视同联合体存在不良信用记录。</w:t>
      </w:r>
    </w:p>
    <w:p w14:paraId="5781AB5D">
      <w:pPr>
        <w:spacing w:line="360" w:lineRule="auto"/>
        <w:ind w:firstLine="435"/>
        <w:rPr>
          <w:rFonts w:ascii="宋体" w:hAnsi="宋体" w:cs="宋体"/>
          <w:strike/>
          <w:sz w:val="24"/>
          <w:szCs w:val="24"/>
        </w:rPr>
      </w:pPr>
      <w:r>
        <w:rPr>
          <w:rFonts w:hint="eastAsia" w:ascii="宋体" w:hAnsi="宋体" w:cs="宋体"/>
          <w:sz w:val="24"/>
        </w:rPr>
        <w:t>评审小组对供应商必须满足和实质性响应的内容进行评审，供应商未实质性响应发包文件要求导致响应无效的，不得进入后续评审环节。</w:t>
      </w:r>
    </w:p>
    <w:p w14:paraId="652EAE28">
      <w:pPr>
        <w:spacing w:line="360" w:lineRule="auto"/>
        <w:ind w:firstLine="435"/>
        <w:rPr>
          <w:rFonts w:ascii="宋体" w:hAnsi="宋体" w:cs="宋体"/>
          <w:sz w:val="24"/>
        </w:rPr>
      </w:pPr>
      <w:r>
        <w:rPr>
          <w:rFonts w:hint="eastAsia" w:ascii="宋体" w:hAnsi="宋体" w:cs="宋体"/>
          <w:sz w:val="24"/>
        </w:rPr>
        <w:t>14.3.2</w:t>
      </w:r>
      <w:r>
        <w:rPr>
          <w:rFonts w:hint="eastAsia" w:ascii="宋体" w:hAnsi="宋体" w:cs="宋体"/>
          <w:b/>
          <w:sz w:val="24"/>
        </w:rPr>
        <w:t>评审</w:t>
      </w:r>
      <w:r>
        <w:rPr>
          <w:rFonts w:hint="eastAsia" w:ascii="宋体" w:hAnsi="宋体" w:cs="宋体"/>
          <w:sz w:val="24"/>
        </w:rPr>
        <w:t>。初审合格后，评审小组将对供应商分别进行技术评审。</w:t>
      </w:r>
    </w:p>
    <w:p w14:paraId="23F2A47E">
      <w:pPr>
        <w:spacing w:line="360" w:lineRule="auto"/>
        <w:ind w:firstLine="435"/>
        <w:rPr>
          <w:rFonts w:ascii="宋体" w:hAnsi="宋体" w:cs="宋体"/>
          <w:sz w:val="24"/>
        </w:rPr>
      </w:pPr>
      <w:r>
        <w:rPr>
          <w:rFonts w:hint="eastAsia" w:ascii="宋体" w:hAnsi="宋体" w:cs="宋体"/>
          <w:sz w:val="24"/>
        </w:rPr>
        <w:t>14.3.3</w:t>
      </w:r>
      <w:r>
        <w:rPr>
          <w:rFonts w:hint="eastAsia" w:ascii="宋体" w:hAnsi="宋体" w:cs="宋体"/>
          <w:b/>
          <w:sz w:val="24"/>
        </w:rPr>
        <w:t>报价</w:t>
      </w:r>
      <w:r>
        <w:rPr>
          <w:rFonts w:hint="eastAsia" w:ascii="宋体" w:hAnsi="宋体" w:cs="宋体"/>
          <w:sz w:val="24"/>
        </w:rPr>
        <w:t>。报价是供应商响应文件的有效组成部分，供应商未按要求报价的，属于响应文件有效组成部分缺失，其响应文件将被认定为</w:t>
      </w:r>
      <w:r>
        <w:rPr>
          <w:rFonts w:hint="eastAsia" w:ascii="宋体" w:hAnsi="宋体" w:cs="宋体"/>
          <w:b/>
          <w:sz w:val="24"/>
        </w:rPr>
        <w:t>响应无效</w:t>
      </w:r>
      <w:r>
        <w:rPr>
          <w:rFonts w:hint="eastAsia" w:ascii="宋体" w:hAnsi="宋体" w:cs="宋体"/>
          <w:sz w:val="24"/>
        </w:rPr>
        <w:t>。</w:t>
      </w:r>
    </w:p>
    <w:p w14:paraId="4DF320E6">
      <w:pPr>
        <w:spacing w:line="360" w:lineRule="auto"/>
        <w:ind w:firstLine="435"/>
        <w:rPr>
          <w:rFonts w:ascii="宋体" w:hAnsi="宋体" w:cs="宋体"/>
          <w:sz w:val="24"/>
        </w:rPr>
      </w:pPr>
      <w:r>
        <w:rPr>
          <w:rFonts w:hint="eastAsia" w:ascii="宋体" w:hAnsi="宋体" w:cs="宋体"/>
          <w:sz w:val="24"/>
        </w:rPr>
        <w:t>14.3.4</w:t>
      </w:r>
      <w:r>
        <w:rPr>
          <w:rFonts w:hint="eastAsia" w:ascii="宋体" w:hAnsi="宋体" w:cs="宋体"/>
          <w:b/>
          <w:sz w:val="24"/>
        </w:rPr>
        <w:t>综合评分</w:t>
      </w:r>
      <w:r>
        <w:rPr>
          <w:rFonts w:hint="eastAsia" w:ascii="宋体" w:hAnsi="宋体" w:cs="宋体"/>
          <w:sz w:val="24"/>
        </w:rPr>
        <w:t>。评审小组只对通过初审，实质上响应发包文件要求的响应文件和报价进行综合评分。</w:t>
      </w:r>
    </w:p>
    <w:p w14:paraId="4B600E03">
      <w:pPr>
        <w:spacing w:line="360" w:lineRule="auto"/>
        <w:ind w:firstLine="435"/>
        <w:rPr>
          <w:rFonts w:ascii="宋体" w:hAnsi="宋体" w:cs="宋体"/>
          <w:sz w:val="24"/>
        </w:rPr>
      </w:pPr>
      <w:r>
        <w:rPr>
          <w:rFonts w:hint="eastAsia" w:ascii="宋体" w:hAnsi="宋体" w:cs="宋体"/>
          <w:sz w:val="24"/>
        </w:rPr>
        <w:t>14.4相关说明。</w:t>
      </w:r>
    </w:p>
    <w:p w14:paraId="5A000CDE">
      <w:pPr>
        <w:spacing w:line="360" w:lineRule="auto"/>
        <w:ind w:firstLine="435"/>
        <w:rPr>
          <w:rFonts w:ascii="宋体" w:hAnsi="宋体" w:cs="宋体"/>
          <w:sz w:val="24"/>
        </w:rPr>
      </w:pPr>
      <w:r>
        <w:rPr>
          <w:rFonts w:hint="eastAsia" w:ascii="宋体" w:hAnsi="宋体" w:cs="宋体"/>
          <w:sz w:val="24"/>
        </w:rPr>
        <w:t>14.4.1为保证发包活动顺利进行，供应商须对评审小组提出的询标内容进行答疑；供应商必须在规定的时间内将自己在评审阶段作出的澄清、变动，经签字盖章后，现场提交给评审小组。</w:t>
      </w:r>
    </w:p>
    <w:p w14:paraId="798EDE94">
      <w:pPr>
        <w:spacing w:line="360" w:lineRule="auto"/>
        <w:ind w:firstLine="435"/>
        <w:rPr>
          <w:rFonts w:ascii="宋体" w:hAnsi="宋体" w:cs="宋体"/>
          <w:sz w:val="24"/>
        </w:rPr>
      </w:pPr>
      <w:r>
        <w:rPr>
          <w:rFonts w:hint="eastAsia" w:ascii="宋体" w:hAnsi="宋体" w:cs="宋体"/>
          <w:sz w:val="24"/>
        </w:rPr>
        <w:t>14.4.2评审小组根据与供应商澄清情况可能实质性变动响应文件的内容，包括采购需求中的技术、服务要求以及合同草案条款。发包文件有实质性变动的，经发包人代表确认作为发包文件的有效组成部分，评审小组将以书面形式通知所有参加发包的供应商。</w:t>
      </w:r>
    </w:p>
    <w:p w14:paraId="550BB3A5">
      <w:pPr>
        <w:spacing w:line="360" w:lineRule="auto"/>
        <w:ind w:firstLine="435"/>
        <w:rPr>
          <w:rFonts w:ascii="宋体" w:hAnsi="宋体" w:cs="宋体"/>
          <w:sz w:val="24"/>
        </w:rPr>
      </w:pPr>
      <w:r>
        <w:rPr>
          <w:rFonts w:hint="eastAsia" w:ascii="宋体" w:hAnsi="宋体" w:cs="宋体"/>
          <w:sz w:val="24"/>
        </w:rPr>
        <w:t>14.4.3评审小组决定响应文件的响应性及符合性只根据响应文件本身的内容，而不寻求其他外部证据。</w:t>
      </w:r>
    </w:p>
    <w:p w14:paraId="7501D1A1">
      <w:pPr>
        <w:spacing w:line="360" w:lineRule="auto"/>
        <w:ind w:firstLine="435"/>
        <w:rPr>
          <w:rFonts w:ascii="宋体" w:hAnsi="宋体" w:cs="宋体"/>
          <w:sz w:val="24"/>
        </w:rPr>
      </w:pPr>
      <w:r>
        <w:rPr>
          <w:rFonts w:hint="eastAsia" w:ascii="宋体" w:hAnsi="宋体" w:cs="宋体"/>
          <w:sz w:val="24"/>
        </w:rPr>
        <w:t xml:space="preserve">14.5供应商授权代表对评审过程有异议，以及认为发包人、代理机构相关工作人员有需要回避的情形的，应当场提出询问或者回避申请，并说明理由。 </w:t>
      </w:r>
    </w:p>
    <w:p w14:paraId="03AA7643">
      <w:pPr>
        <w:spacing w:line="360" w:lineRule="auto"/>
        <w:ind w:firstLine="437"/>
        <w:outlineLvl w:val="2"/>
        <w:rPr>
          <w:rFonts w:ascii="宋体" w:hAnsi="宋体" w:cs="宋体"/>
          <w:b/>
          <w:sz w:val="24"/>
        </w:rPr>
      </w:pPr>
      <w:r>
        <w:rPr>
          <w:rFonts w:hint="eastAsia" w:ascii="宋体" w:hAnsi="宋体" w:cs="宋体"/>
          <w:b/>
          <w:sz w:val="24"/>
        </w:rPr>
        <w:t>15.终止发包</w:t>
      </w:r>
    </w:p>
    <w:p w14:paraId="5B4BAFFD">
      <w:pPr>
        <w:spacing w:line="360" w:lineRule="auto"/>
        <w:ind w:firstLine="435"/>
        <w:rPr>
          <w:rFonts w:ascii="宋体" w:hAnsi="宋体" w:cs="宋体"/>
          <w:sz w:val="24"/>
        </w:rPr>
      </w:pPr>
      <w:r>
        <w:rPr>
          <w:rFonts w:hint="eastAsia" w:ascii="宋体" w:hAnsi="宋体" w:cs="宋体"/>
          <w:sz w:val="24"/>
        </w:rPr>
        <w:t>15.1出现下列情况之一时，发包人和代理机构有权宣布终止发包采购，并将理由通知所有供应商：</w:t>
      </w:r>
    </w:p>
    <w:p w14:paraId="01AA7152">
      <w:pPr>
        <w:spacing w:line="360" w:lineRule="auto"/>
        <w:ind w:firstLine="435"/>
        <w:rPr>
          <w:rFonts w:ascii="宋体" w:hAnsi="宋体" w:cs="宋体"/>
          <w:sz w:val="24"/>
        </w:rPr>
      </w:pPr>
      <w:r>
        <w:rPr>
          <w:rFonts w:hint="eastAsia" w:ascii="宋体" w:hAnsi="宋体" w:cs="宋体"/>
          <w:sz w:val="24"/>
        </w:rPr>
        <w:t>（1）有效供应商数量不足，导致本次发包缺乏竞争的；</w:t>
      </w:r>
    </w:p>
    <w:p w14:paraId="6DD07FA2">
      <w:pPr>
        <w:spacing w:line="360" w:lineRule="auto"/>
        <w:ind w:firstLine="435"/>
        <w:rPr>
          <w:rFonts w:ascii="宋体" w:hAnsi="宋体" w:cs="宋体"/>
          <w:sz w:val="24"/>
        </w:rPr>
      </w:pPr>
      <w:r>
        <w:rPr>
          <w:rFonts w:hint="eastAsia" w:ascii="宋体" w:hAnsi="宋体" w:cs="宋体"/>
          <w:sz w:val="24"/>
        </w:rPr>
        <w:t>（2）出现影响采购公正的违法、违规行为的；</w:t>
      </w:r>
    </w:p>
    <w:p w14:paraId="7223D9BF">
      <w:pPr>
        <w:spacing w:line="360" w:lineRule="auto"/>
        <w:ind w:firstLine="435"/>
        <w:rPr>
          <w:rFonts w:ascii="宋体" w:hAnsi="宋体" w:cs="宋体"/>
          <w:sz w:val="24"/>
        </w:rPr>
      </w:pPr>
      <w:r>
        <w:rPr>
          <w:rFonts w:hint="eastAsia" w:ascii="宋体" w:hAnsi="宋体" w:cs="宋体"/>
          <w:sz w:val="24"/>
        </w:rPr>
        <w:t>（3）因重大变故，采购任务取消的；</w:t>
      </w:r>
    </w:p>
    <w:p w14:paraId="03AF790D">
      <w:pPr>
        <w:spacing w:line="360" w:lineRule="auto"/>
        <w:ind w:firstLine="437"/>
        <w:outlineLvl w:val="2"/>
        <w:rPr>
          <w:rFonts w:ascii="宋体" w:hAnsi="宋体" w:cs="宋体"/>
          <w:sz w:val="24"/>
        </w:rPr>
      </w:pPr>
      <w:r>
        <w:rPr>
          <w:rFonts w:hint="eastAsia" w:ascii="宋体" w:hAnsi="宋体" w:cs="宋体"/>
          <w:sz w:val="24"/>
        </w:rPr>
        <w:t>（4）法律法规规定的其他情形。</w:t>
      </w:r>
    </w:p>
    <w:p w14:paraId="4A31C81B">
      <w:pPr>
        <w:spacing w:line="360" w:lineRule="auto"/>
        <w:ind w:firstLine="437"/>
        <w:outlineLvl w:val="2"/>
        <w:rPr>
          <w:rFonts w:ascii="宋体" w:hAnsi="宋体" w:cs="宋体"/>
          <w:b/>
          <w:sz w:val="24"/>
        </w:rPr>
      </w:pPr>
      <w:r>
        <w:rPr>
          <w:rFonts w:hint="eastAsia" w:ascii="宋体" w:hAnsi="宋体" w:cs="宋体"/>
          <w:b/>
          <w:sz w:val="24"/>
        </w:rPr>
        <w:t>16.响应文件的澄清、说明或更正</w:t>
      </w:r>
    </w:p>
    <w:p w14:paraId="46265215">
      <w:pPr>
        <w:spacing w:line="360" w:lineRule="auto"/>
        <w:ind w:firstLine="470" w:firstLineChars="196"/>
        <w:rPr>
          <w:rFonts w:ascii="宋体" w:hAnsi="宋体" w:cs="宋体"/>
          <w:sz w:val="24"/>
        </w:rPr>
      </w:pPr>
      <w:r>
        <w:rPr>
          <w:rFonts w:hint="eastAsia" w:ascii="宋体" w:hAnsi="宋体" w:cs="宋体"/>
          <w:sz w:val="24"/>
        </w:rPr>
        <w:t>16.1评审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4BF6C93C">
      <w:pPr>
        <w:spacing w:line="360" w:lineRule="auto"/>
        <w:ind w:firstLine="470" w:firstLineChars="196"/>
        <w:rPr>
          <w:rFonts w:ascii="宋体" w:hAnsi="宋体" w:cs="宋体"/>
          <w:sz w:val="24"/>
        </w:rPr>
      </w:pPr>
      <w:r>
        <w:rPr>
          <w:rFonts w:hint="eastAsia" w:ascii="宋体" w:hAnsi="宋体" w:cs="宋体"/>
          <w:sz w:val="24"/>
        </w:rPr>
        <w:t>16.2评审小组要求供应商澄清、说明或者更正响应文件应当以书面形式（询标）作出。供应商的澄清、说明或者更正应当由法定代表人或其授权代表签字或者加盖公章（电子签章）。</w:t>
      </w:r>
    </w:p>
    <w:p w14:paraId="6E809A71">
      <w:pPr>
        <w:spacing w:line="360" w:lineRule="auto"/>
        <w:ind w:firstLine="437"/>
        <w:outlineLvl w:val="2"/>
        <w:rPr>
          <w:rFonts w:ascii="宋体" w:hAnsi="宋体" w:cs="宋体"/>
          <w:b/>
          <w:sz w:val="24"/>
        </w:rPr>
      </w:pPr>
      <w:r>
        <w:rPr>
          <w:rFonts w:hint="eastAsia" w:ascii="宋体" w:hAnsi="宋体" w:cs="宋体"/>
          <w:b/>
          <w:sz w:val="24"/>
        </w:rPr>
        <w:t>各供应商在项目开标、评标（审）期间应保持通信畅通，随时接受评审小组发出的询标信息，并在规定时间内答复，未能按时答复的，评审小组将视同其放弃澄清。</w:t>
      </w:r>
    </w:p>
    <w:p w14:paraId="43E355D3">
      <w:pPr>
        <w:spacing w:line="360" w:lineRule="auto"/>
        <w:ind w:firstLine="482" w:firstLineChars="200"/>
        <w:rPr>
          <w:rFonts w:ascii="宋体" w:hAnsi="宋体" w:cs="宋体"/>
          <w:b/>
          <w:sz w:val="24"/>
        </w:rPr>
      </w:pPr>
      <w:r>
        <w:rPr>
          <w:rFonts w:hint="eastAsia" w:ascii="宋体" w:hAnsi="宋体" w:cs="宋体"/>
          <w:b/>
          <w:sz w:val="24"/>
        </w:rPr>
        <w:t>17.成交候选供应商的推荐原则及标准</w:t>
      </w:r>
    </w:p>
    <w:p w14:paraId="393BB23A">
      <w:pPr>
        <w:spacing w:line="360" w:lineRule="auto"/>
        <w:ind w:firstLine="435"/>
        <w:rPr>
          <w:rFonts w:ascii="宋体" w:hAnsi="宋体" w:cs="宋体"/>
          <w:sz w:val="24"/>
        </w:rPr>
      </w:pPr>
      <w:r>
        <w:rPr>
          <w:rFonts w:hint="eastAsia" w:ascii="宋体" w:hAnsi="宋体" w:cs="宋体"/>
          <w:sz w:val="24"/>
        </w:rPr>
        <w:t>17.1评审小组依据本项目发包文件所约定的评审方法和标准，按照有效供应商综合总得分由高到低依次推荐成交候选供应商。综合总得分出现两家或两家以上相同者，按响应报价由低到高排序推荐成交候选供应商；综合总得分且最后报价均相同的，由评审小组按照技术指标优劣顺序推荐成交候选供应商。以上情况均相同的，则由评审小组采取随机抽取方式确定。</w:t>
      </w:r>
    </w:p>
    <w:p w14:paraId="3D785ED1">
      <w:pPr>
        <w:spacing w:line="360" w:lineRule="auto"/>
        <w:ind w:firstLine="437"/>
        <w:outlineLvl w:val="2"/>
        <w:rPr>
          <w:rFonts w:ascii="宋体" w:hAnsi="宋体" w:cs="宋体"/>
          <w:b/>
          <w:sz w:val="24"/>
        </w:rPr>
      </w:pPr>
      <w:r>
        <w:rPr>
          <w:rFonts w:hint="eastAsia" w:ascii="宋体" w:hAnsi="宋体" w:cs="宋体"/>
          <w:b/>
          <w:sz w:val="24"/>
        </w:rPr>
        <w:t>18.确定成交候选供应商和成交供应商</w:t>
      </w:r>
    </w:p>
    <w:p w14:paraId="5E1B2800">
      <w:pPr>
        <w:spacing w:line="360" w:lineRule="auto"/>
        <w:ind w:firstLine="435"/>
        <w:rPr>
          <w:rFonts w:ascii="宋体" w:hAnsi="宋体" w:cs="宋体"/>
          <w:sz w:val="24"/>
        </w:rPr>
      </w:pPr>
      <w:r>
        <w:rPr>
          <w:rFonts w:hint="eastAsia" w:ascii="宋体" w:hAnsi="宋体" w:cs="宋体"/>
          <w:sz w:val="24"/>
        </w:rPr>
        <w:t>18.1评审小组根据综合评分的结果和</w:t>
      </w:r>
      <w:r>
        <w:rPr>
          <w:rFonts w:hint="eastAsia" w:ascii="宋体" w:hAnsi="宋体" w:cs="宋体"/>
          <w:sz w:val="24"/>
          <w:u w:val="single"/>
        </w:rPr>
        <w:t>供应商须知前附表</w:t>
      </w:r>
      <w:r>
        <w:rPr>
          <w:rFonts w:hint="eastAsia" w:ascii="宋体" w:hAnsi="宋体" w:cs="宋体"/>
          <w:sz w:val="24"/>
        </w:rPr>
        <w:t>中规定确定成交候选供应商，并标明排列顺序。按</w:t>
      </w:r>
      <w:r>
        <w:rPr>
          <w:rFonts w:hint="eastAsia" w:ascii="宋体" w:hAnsi="宋体" w:cs="宋体"/>
          <w:sz w:val="24"/>
          <w:u w:val="single"/>
        </w:rPr>
        <w:t>供应商须知前附表</w:t>
      </w:r>
      <w:r>
        <w:rPr>
          <w:rFonts w:hint="eastAsia" w:ascii="宋体" w:hAnsi="宋体" w:cs="宋体"/>
          <w:sz w:val="24"/>
        </w:rPr>
        <w:t>中规定，由评审小组或发包人确定成交供应商。</w:t>
      </w:r>
    </w:p>
    <w:p w14:paraId="5ED27A53">
      <w:pPr>
        <w:spacing w:line="360" w:lineRule="auto"/>
        <w:ind w:firstLine="437"/>
        <w:outlineLvl w:val="2"/>
        <w:rPr>
          <w:rFonts w:ascii="宋体" w:hAnsi="宋体" w:cs="宋体"/>
          <w:b/>
          <w:sz w:val="24"/>
        </w:rPr>
      </w:pPr>
      <w:r>
        <w:rPr>
          <w:rFonts w:hint="eastAsia" w:ascii="宋体" w:hAnsi="宋体" w:cs="宋体"/>
          <w:b/>
          <w:sz w:val="24"/>
        </w:rPr>
        <w:t>19.编写评审报告</w:t>
      </w:r>
    </w:p>
    <w:p w14:paraId="4DBAC8FA">
      <w:pPr>
        <w:spacing w:line="360" w:lineRule="auto"/>
        <w:ind w:firstLine="435"/>
        <w:rPr>
          <w:rFonts w:ascii="宋体" w:hAnsi="宋体" w:cs="宋体"/>
          <w:sz w:val="24"/>
        </w:rPr>
      </w:pPr>
      <w:r>
        <w:rPr>
          <w:rFonts w:hint="eastAsia" w:ascii="宋体" w:hAnsi="宋体" w:cs="宋体"/>
          <w:sz w:val="24"/>
        </w:rPr>
        <w:t>19.1评审报告是根据全体评审小组成员签字的原始评审记录和评审结果编写的报告，评审报告由评审小组全体成员签字。对评审结论持有异议的评审小组成员可以书面方式阐述其不同意见和理由。评审小组成员拒绝在评审报告上签字且不陈述其不同意见和理由的，视为同意评审结论。</w:t>
      </w:r>
    </w:p>
    <w:p w14:paraId="48A4210E">
      <w:pPr>
        <w:spacing w:line="360" w:lineRule="auto"/>
        <w:ind w:firstLine="437"/>
        <w:outlineLvl w:val="2"/>
        <w:rPr>
          <w:rFonts w:ascii="宋体" w:hAnsi="宋体" w:cs="宋体"/>
          <w:b/>
          <w:sz w:val="24"/>
        </w:rPr>
      </w:pPr>
      <w:r>
        <w:rPr>
          <w:rFonts w:hint="eastAsia" w:ascii="宋体" w:hAnsi="宋体" w:cs="宋体"/>
          <w:b/>
          <w:sz w:val="24"/>
        </w:rPr>
        <w:t>20.保密要求</w:t>
      </w:r>
    </w:p>
    <w:p w14:paraId="051E168E">
      <w:pPr>
        <w:spacing w:line="360" w:lineRule="auto"/>
        <w:ind w:firstLine="435"/>
        <w:rPr>
          <w:rFonts w:ascii="宋体" w:hAnsi="宋体" w:cs="宋体"/>
          <w:sz w:val="24"/>
        </w:rPr>
      </w:pPr>
      <w:r>
        <w:rPr>
          <w:rFonts w:hint="eastAsia" w:ascii="宋体" w:hAnsi="宋体" w:cs="宋体"/>
          <w:sz w:val="24"/>
        </w:rPr>
        <w:t>20.1评审将在严格保密的情况下进行。</w:t>
      </w:r>
    </w:p>
    <w:p w14:paraId="7652646F">
      <w:pPr>
        <w:spacing w:line="360" w:lineRule="auto"/>
        <w:ind w:firstLine="435"/>
        <w:rPr>
          <w:rFonts w:ascii="宋体" w:hAnsi="宋体" w:cs="宋体"/>
          <w:sz w:val="24"/>
        </w:rPr>
      </w:pPr>
      <w:r>
        <w:rPr>
          <w:rFonts w:hint="eastAsia" w:ascii="宋体" w:hAnsi="宋体" w:cs="宋体"/>
          <w:sz w:val="24"/>
        </w:rPr>
        <w:t>20.2有关人员应当遵守评审工作纪律，不得泄露评审文件、评审情况和评审中获悉的国家秘密、商业秘密。</w:t>
      </w:r>
    </w:p>
    <w:p w14:paraId="3D616A93">
      <w:pPr>
        <w:spacing w:line="360" w:lineRule="auto"/>
        <w:ind w:firstLine="437"/>
        <w:outlineLvl w:val="2"/>
        <w:rPr>
          <w:rFonts w:ascii="宋体" w:hAnsi="宋体" w:cs="宋体"/>
          <w:b/>
          <w:sz w:val="24"/>
        </w:rPr>
      </w:pPr>
      <w:r>
        <w:rPr>
          <w:rFonts w:hint="eastAsia" w:ascii="宋体" w:hAnsi="宋体" w:cs="宋体"/>
          <w:b/>
          <w:sz w:val="24"/>
        </w:rPr>
        <w:t>21.成交结果公告</w:t>
      </w:r>
    </w:p>
    <w:p w14:paraId="4D98EF68">
      <w:pPr>
        <w:spacing w:line="360" w:lineRule="auto"/>
        <w:ind w:firstLine="435"/>
        <w:rPr>
          <w:rFonts w:ascii="宋体" w:hAnsi="宋体" w:cs="宋体"/>
          <w:sz w:val="24"/>
        </w:rPr>
      </w:pPr>
      <w:r>
        <w:rPr>
          <w:rFonts w:hint="eastAsia" w:ascii="宋体" w:hAnsi="宋体" w:cs="宋体"/>
          <w:sz w:val="24"/>
        </w:rPr>
        <w:t>21.1评审结束后，发包人及代理机构将</w:t>
      </w:r>
      <w:r>
        <w:rPr>
          <w:rFonts w:hint="eastAsia" w:ascii="宋体" w:hAnsi="宋体" w:cs="宋体"/>
          <w:sz w:val="24"/>
          <w:szCs w:val="18"/>
        </w:rPr>
        <w:t>在网站上</w:t>
      </w:r>
      <w:r>
        <w:rPr>
          <w:rFonts w:hint="eastAsia" w:ascii="宋体" w:hAnsi="宋体" w:cs="宋体"/>
          <w:sz w:val="24"/>
        </w:rPr>
        <w:t>发布成交结果公告。</w:t>
      </w:r>
    </w:p>
    <w:p w14:paraId="499C9AA3">
      <w:pPr>
        <w:spacing w:line="360" w:lineRule="auto"/>
        <w:ind w:firstLine="435"/>
        <w:rPr>
          <w:rFonts w:ascii="宋体" w:hAnsi="宋体" w:cs="宋体"/>
          <w:sz w:val="24"/>
        </w:rPr>
      </w:pPr>
      <w:r>
        <w:rPr>
          <w:rFonts w:hint="eastAsia" w:ascii="宋体" w:hAnsi="宋体" w:cs="宋体"/>
          <w:sz w:val="24"/>
        </w:rPr>
        <w:t>21.2成交结果公告内容应当包括发包人及其委托的代理机构的名称、地址、联系方式，项目名称和项目编号，成交供应商名称、地址和成交金额，成交结果公告期限等内容。</w:t>
      </w:r>
    </w:p>
    <w:p w14:paraId="2A672454">
      <w:pPr>
        <w:spacing w:line="360" w:lineRule="auto"/>
        <w:ind w:firstLine="437"/>
        <w:outlineLvl w:val="2"/>
        <w:rPr>
          <w:rFonts w:ascii="宋体" w:hAnsi="宋体" w:cs="宋体"/>
          <w:b/>
          <w:sz w:val="24"/>
        </w:rPr>
      </w:pPr>
      <w:r>
        <w:rPr>
          <w:rFonts w:hint="eastAsia" w:ascii="宋体" w:hAnsi="宋体" w:cs="宋体"/>
          <w:b/>
          <w:sz w:val="24"/>
        </w:rPr>
        <w:t>22.成交通知书</w:t>
      </w:r>
    </w:p>
    <w:p w14:paraId="6797B924">
      <w:pPr>
        <w:spacing w:line="360" w:lineRule="auto"/>
        <w:ind w:firstLine="435"/>
        <w:rPr>
          <w:rFonts w:ascii="宋体" w:hAnsi="宋体" w:cs="宋体"/>
          <w:sz w:val="24"/>
        </w:rPr>
      </w:pPr>
      <w:r>
        <w:rPr>
          <w:rFonts w:hint="eastAsia" w:ascii="宋体" w:hAnsi="宋体" w:cs="宋体"/>
          <w:sz w:val="24"/>
        </w:rPr>
        <w:t>22.1代理机构发布成交结果公告的同时向成交供应商发出成交通知书。</w:t>
      </w:r>
    </w:p>
    <w:p w14:paraId="3D703005">
      <w:pPr>
        <w:spacing w:line="360" w:lineRule="auto"/>
        <w:ind w:firstLine="435"/>
        <w:rPr>
          <w:rFonts w:ascii="宋体" w:hAnsi="宋体" w:cs="宋体"/>
          <w:sz w:val="24"/>
        </w:rPr>
      </w:pPr>
      <w:r>
        <w:rPr>
          <w:rFonts w:hint="eastAsia" w:ascii="宋体" w:hAnsi="宋体" w:cs="宋体"/>
          <w:sz w:val="24"/>
        </w:rPr>
        <w:t>22.2成交通知书对发包人和成交供应商具有同等法律效力。成交通知书发出以后，发包人改变成交结果或者成交供应商放弃成交资格，应当承担相应的法律责任。</w:t>
      </w:r>
    </w:p>
    <w:p w14:paraId="7060755E">
      <w:pPr>
        <w:spacing w:line="360" w:lineRule="auto"/>
        <w:ind w:firstLine="435"/>
        <w:rPr>
          <w:rFonts w:ascii="宋体" w:hAnsi="宋体" w:cs="宋体"/>
          <w:sz w:val="24"/>
        </w:rPr>
      </w:pPr>
      <w:r>
        <w:rPr>
          <w:rFonts w:hint="eastAsia" w:ascii="宋体" w:hAnsi="宋体" w:cs="宋体"/>
          <w:sz w:val="24"/>
        </w:rPr>
        <w:t>22.3成交通知书是合同的组成部分。</w:t>
      </w:r>
    </w:p>
    <w:p w14:paraId="502E5516">
      <w:pPr>
        <w:spacing w:line="360" w:lineRule="auto"/>
        <w:ind w:firstLine="437"/>
        <w:outlineLvl w:val="2"/>
        <w:rPr>
          <w:rFonts w:ascii="宋体" w:hAnsi="宋体" w:cs="宋体"/>
          <w:b/>
          <w:sz w:val="24"/>
        </w:rPr>
      </w:pPr>
      <w:r>
        <w:rPr>
          <w:rFonts w:hint="eastAsia" w:ascii="宋体" w:hAnsi="宋体" w:cs="宋体"/>
          <w:b/>
          <w:sz w:val="24"/>
        </w:rPr>
        <w:t>23.告知发包结果</w:t>
      </w:r>
    </w:p>
    <w:p w14:paraId="557FDBAD">
      <w:pPr>
        <w:spacing w:line="360" w:lineRule="auto"/>
        <w:ind w:firstLine="435"/>
        <w:rPr>
          <w:rFonts w:ascii="宋体" w:hAnsi="宋体" w:cs="宋体"/>
          <w:sz w:val="24"/>
        </w:rPr>
      </w:pPr>
      <w:r>
        <w:rPr>
          <w:rFonts w:hint="eastAsia" w:ascii="宋体" w:hAnsi="宋体" w:cs="宋体"/>
          <w:sz w:val="24"/>
        </w:rPr>
        <w:t>23.1在公告成交结果的同时，代理机构同时以</w:t>
      </w:r>
      <w:r>
        <w:rPr>
          <w:rFonts w:hint="eastAsia" w:ascii="宋体" w:hAnsi="宋体" w:cs="宋体"/>
          <w:sz w:val="24"/>
          <w:u w:val="single"/>
        </w:rPr>
        <w:t>供应商须知前附表</w:t>
      </w:r>
      <w:r>
        <w:rPr>
          <w:rFonts w:hint="eastAsia" w:ascii="宋体" w:hAnsi="宋体" w:cs="宋体"/>
          <w:sz w:val="24"/>
        </w:rPr>
        <w:t>规定的形式告知未成交供应商本人的评审得分和排序。</w:t>
      </w:r>
    </w:p>
    <w:p w14:paraId="7FCB7684">
      <w:pPr>
        <w:spacing w:line="360" w:lineRule="auto"/>
        <w:ind w:firstLine="480" w:firstLineChars="200"/>
        <w:rPr>
          <w:rFonts w:ascii="宋体" w:hAnsi="宋体" w:cs="宋体"/>
          <w:sz w:val="24"/>
        </w:rPr>
      </w:pPr>
      <w:r>
        <w:rPr>
          <w:rFonts w:hint="eastAsia" w:ascii="宋体" w:hAnsi="宋体" w:cs="宋体"/>
          <w:sz w:val="24"/>
        </w:rPr>
        <w:t>23.2代理机构对未成交的供应商不做未成交原因的解释。</w:t>
      </w:r>
    </w:p>
    <w:p w14:paraId="7720B9B6">
      <w:pPr>
        <w:spacing w:line="360" w:lineRule="auto"/>
        <w:ind w:firstLine="437"/>
        <w:outlineLvl w:val="2"/>
        <w:rPr>
          <w:rFonts w:ascii="宋体" w:hAnsi="宋体" w:cs="宋体"/>
          <w:b/>
          <w:sz w:val="24"/>
        </w:rPr>
      </w:pPr>
      <w:r>
        <w:rPr>
          <w:rFonts w:hint="eastAsia" w:ascii="宋体" w:hAnsi="宋体" w:cs="宋体"/>
          <w:b/>
          <w:sz w:val="24"/>
        </w:rPr>
        <w:t>24.履约保证金</w:t>
      </w:r>
    </w:p>
    <w:p w14:paraId="283B241F">
      <w:pPr>
        <w:spacing w:line="360" w:lineRule="auto"/>
        <w:ind w:firstLine="435"/>
        <w:rPr>
          <w:rFonts w:ascii="宋体" w:hAnsi="宋体" w:cs="宋体"/>
          <w:sz w:val="24"/>
        </w:rPr>
      </w:pPr>
      <w:r>
        <w:rPr>
          <w:rFonts w:hint="eastAsia" w:ascii="宋体" w:hAnsi="宋体" w:cs="宋体"/>
          <w:sz w:val="24"/>
        </w:rPr>
        <w:t>24.1成交供应商应按照</w:t>
      </w:r>
      <w:r>
        <w:rPr>
          <w:rFonts w:hint="eastAsia" w:ascii="宋体" w:hAnsi="宋体" w:cs="宋体"/>
          <w:sz w:val="24"/>
          <w:u w:val="single"/>
        </w:rPr>
        <w:t>供应商须知前附表</w:t>
      </w:r>
      <w:r>
        <w:rPr>
          <w:rFonts w:hint="eastAsia" w:ascii="宋体" w:hAnsi="宋体" w:cs="宋体"/>
          <w:sz w:val="24"/>
        </w:rPr>
        <w:t>规定缴纳履约保证金。</w:t>
      </w:r>
    </w:p>
    <w:p w14:paraId="0A8BF385">
      <w:pPr>
        <w:spacing w:line="360" w:lineRule="auto"/>
        <w:ind w:firstLine="435"/>
        <w:rPr>
          <w:rFonts w:ascii="宋体" w:hAnsi="宋体" w:cs="宋体"/>
          <w:sz w:val="24"/>
        </w:rPr>
      </w:pPr>
      <w:r>
        <w:rPr>
          <w:rFonts w:hint="eastAsia" w:ascii="宋体" w:hAnsi="宋体" w:cs="宋体"/>
          <w:sz w:val="24"/>
        </w:rPr>
        <w:t>24.2如果成交供应商没有按照上述履约保证金的规定执行，将视为放弃成交资格。在此情况下，发包人可确定下一成交候选供应商为成交供应商，也可以重新开展采购活动。</w:t>
      </w:r>
    </w:p>
    <w:p w14:paraId="226A4B87">
      <w:pPr>
        <w:spacing w:line="360" w:lineRule="auto"/>
        <w:ind w:firstLine="437"/>
        <w:outlineLvl w:val="2"/>
        <w:rPr>
          <w:rFonts w:ascii="宋体" w:hAnsi="宋体" w:cs="宋体"/>
          <w:b/>
          <w:sz w:val="24"/>
        </w:rPr>
      </w:pPr>
      <w:r>
        <w:rPr>
          <w:rFonts w:hint="eastAsia" w:ascii="宋体" w:hAnsi="宋体" w:cs="宋体"/>
          <w:b/>
          <w:sz w:val="24"/>
        </w:rPr>
        <w:t>25.代理费用</w:t>
      </w:r>
    </w:p>
    <w:p w14:paraId="61CB3F68">
      <w:pPr>
        <w:spacing w:line="360" w:lineRule="auto"/>
        <w:ind w:firstLine="435"/>
        <w:rPr>
          <w:rFonts w:ascii="宋体" w:hAnsi="宋体" w:cs="宋体"/>
          <w:sz w:val="24"/>
        </w:rPr>
      </w:pPr>
      <w:r>
        <w:rPr>
          <w:rFonts w:hint="eastAsia" w:ascii="宋体" w:hAnsi="宋体" w:cs="宋体"/>
          <w:sz w:val="24"/>
        </w:rPr>
        <w:t>25.1本项目代理费用的收取按</w:t>
      </w:r>
      <w:r>
        <w:rPr>
          <w:rFonts w:hint="eastAsia" w:ascii="宋体" w:hAnsi="宋体" w:cs="宋体"/>
          <w:sz w:val="24"/>
          <w:u w:val="single"/>
        </w:rPr>
        <w:t>供应商须知前附表</w:t>
      </w:r>
      <w:r>
        <w:rPr>
          <w:rFonts w:hint="eastAsia" w:ascii="宋体" w:hAnsi="宋体" w:cs="宋体"/>
          <w:sz w:val="24"/>
        </w:rPr>
        <w:t>的规定执行。</w:t>
      </w:r>
    </w:p>
    <w:p w14:paraId="01FC0168">
      <w:pPr>
        <w:spacing w:line="360" w:lineRule="auto"/>
        <w:ind w:firstLine="437"/>
        <w:outlineLvl w:val="2"/>
        <w:rPr>
          <w:rFonts w:ascii="宋体" w:hAnsi="宋体" w:cs="宋体"/>
          <w:b/>
          <w:sz w:val="24"/>
        </w:rPr>
      </w:pPr>
      <w:r>
        <w:rPr>
          <w:rFonts w:hint="eastAsia" w:ascii="宋体" w:hAnsi="宋体" w:cs="宋体"/>
          <w:b/>
          <w:sz w:val="24"/>
        </w:rPr>
        <w:t>26.签订合同</w:t>
      </w:r>
    </w:p>
    <w:p w14:paraId="66BBF642">
      <w:pPr>
        <w:spacing w:line="360" w:lineRule="auto"/>
        <w:ind w:firstLine="480" w:firstLineChars="200"/>
        <w:rPr>
          <w:rFonts w:ascii="宋体" w:hAnsi="宋体" w:cs="宋体"/>
          <w:sz w:val="24"/>
        </w:rPr>
      </w:pPr>
      <w:r>
        <w:rPr>
          <w:rFonts w:hint="eastAsia" w:ascii="宋体" w:hAnsi="宋体" w:cs="宋体"/>
          <w:sz w:val="24"/>
        </w:rPr>
        <w:t>26.1质疑期内如未接到供应商的质疑和投诉，将向成交供应商发出成交通知书。</w:t>
      </w:r>
    </w:p>
    <w:p w14:paraId="50254278">
      <w:pPr>
        <w:spacing w:line="360" w:lineRule="auto"/>
        <w:ind w:firstLine="480" w:firstLineChars="200"/>
        <w:rPr>
          <w:rFonts w:ascii="宋体" w:hAnsi="宋体" w:cs="宋体"/>
          <w:sz w:val="24"/>
        </w:rPr>
      </w:pPr>
      <w:r>
        <w:rPr>
          <w:rFonts w:hint="eastAsia" w:ascii="宋体" w:hAnsi="宋体" w:cs="宋体"/>
          <w:sz w:val="24"/>
        </w:rPr>
        <w:t>26.2成交供应商在成交通知书发出后7个工作日内与发包人签订合同。发包文件、成交供应商的响应文件及澄清文件等，均作为合同的附件。</w:t>
      </w:r>
    </w:p>
    <w:p w14:paraId="00551E68">
      <w:pPr>
        <w:spacing w:line="360" w:lineRule="auto"/>
        <w:ind w:firstLine="480" w:firstLineChars="200"/>
        <w:rPr>
          <w:rFonts w:ascii="宋体" w:hAnsi="宋体" w:cs="宋体"/>
          <w:sz w:val="24"/>
        </w:rPr>
      </w:pPr>
      <w:r>
        <w:rPr>
          <w:rFonts w:hint="eastAsia" w:ascii="宋体" w:hAnsi="宋体" w:cs="宋体"/>
          <w:sz w:val="24"/>
        </w:rPr>
        <w:t>26.3成交供应商因不可抗力或者自身原因不能在规定的时间内与发包人签订发包合同，发包人可以与排在成交供应商后第一位的成交候选人签订发包合同，以此类推或重新组织发包。</w:t>
      </w:r>
    </w:p>
    <w:p w14:paraId="5A22F2EB">
      <w:pPr>
        <w:spacing w:line="360" w:lineRule="auto"/>
        <w:ind w:firstLine="437"/>
        <w:outlineLvl w:val="2"/>
        <w:rPr>
          <w:rFonts w:ascii="宋体" w:hAnsi="宋体" w:cs="宋体"/>
          <w:b/>
          <w:sz w:val="24"/>
        </w:rPr>
      </w:pPr>
      <w:r>
        <w:rPr>
          <w:rFonts w:hint="eastAsia" w:ascii="宋体" w:hAnsi="宋体" w:cs="宋体"/>
          <w:b/>
          <w:sz w:val="24"/>
        </w:rPr>
        <w:t>27.澄清及变更</w:t>
      </w:r>
    </w:p>
    <w:p w14:paraId="65AADA37">
      <w:pPr>
        <w:spacing w:line="360" w:lineRule="auto"/>
        <w:ind w:firstLine="435"/>
        <w:rPr>
          <w:rFonts w:ascii="宋体" w:hAnsi="宋体" w:cs="宋体"/>
          <w:sz w:val="24"/>
        </w:rPr>
      </w:pPr>
      <w:r>
        <w:rPr>
          <w:rFonts w:hint="eastAsia" w:ascii="宋体" w:hAnsi="宋体" w:cs="宋体"/>
          <w:sz w:val="24"/>
        </w:rPr>
        <w:t>27.1发包文件如有澄清及变更，将以网上公告形式发布，请供应商及时关注网上相关信息。</w:t>
      </w:r>
    </w:p>
    <w:p w14:paraId="39A57252">
      <w:pPr>
        <w:spacing w:line="360" w:lineRule="auto"/>
        <w:ind w:firstLine="437"/>
        <w:outlineLvl w:val="2"/>
        <w:rPr>
          <w:rFonts w:ascii="宋体" w:hAnsi="宋体" w:cs="宋体"/>
          <w:b/>
          <w:sz w:val="24"/>
        </w:rPr>
      </w:pPr>
      <w:r>
        <w:rPr>
          <w:rFonts w:hint="eastAsia" w:ascii="宋体" w:hAnsi="宋体" w:cs="宋体"/>
          <w:b/>
          <w:sz w:val="24"/>
        </w:rPr>
        <w:t>28.质疑的提出与接收</w:t>
      </w:r>
    </w:p>
    <w:p w14:paraId="670C0311">
      <w:pPr>
        <w:spacing w:line="360" w:lineRule="auto"/>
        <w:ind w:firstLine="435"/>
        <w:rPr>
          <w:rFonts w:ascii="宋体" w:hAnsi="宋体" w:cs="宋体"/>
          <w:sz w:val="24"/>
        </w:rPr>
      </w:pPr>
      <w:r>
        <w:rPr>
          <w:rFonts w:hint="eastAsia" w:ascii="宋体" w:hAnsi="宋体" w:cs="宋体"/>
          <w:sz w:val="24"/>
        </w:rPr>
        <w:t>28.1供应商认为发包文件、采购过程和成交结果使自己的权益受到损害的，可以在知道或者应知其权益受到损害之日起七个工作日内，以书面形式向发包人或其委托的代理机构提出质疑。</w:t>
      </w:r>
    </w:p>
    <w:p w14:paraId="37B36D7B">
      <w:pPr>
        <w:spacing w:line="360" w:lineRule="auto"/>
        <w:ind w:firstLine="435"/>
        <w:rPr>
          <w:rFonts w:ascii="宋体" w:hAnsi="宋体" w:cs="宋体"/>
          <w:sz w:val="24"/>
        </w:rPr>
      </w:pPr>
      <w:r>
        <w:rPr>
          <w:rFonts w:hint="eastAsia" w:ascii="宋体" w:hAnsi="宋体" w:cs="宋体"/>
          <w:sz w:val="24"/>
        </w:rPr>
        <w:t>28.2质疑供应商应参照财政部制定的《政府采购质疑函范本》格式和相关法律要求，在法定质疑期内以书面形式提出质疑，超出法定质疑期提交的质疑将被拒绝。针对同一采购程序环节的质疑应一次性提出。</w:t>
      </w:r>
    </w:p>
    <w:p w14:paraId="2C4FC29B">
      <w:pPr>
        <w:spacing w:line="360" w:lineRule="auto"/>
        <w:ind w:firstLine="435"/>
        <w:rPr>
          <w:rFonts w:ascii="宋体" w:hAnsi="宋体" w:cs="宋体"/>
          <w:sz w:val="24"/>
        </w:rPr>
      </w:pPr>
      <w:r>
        <w:rPr>
          <w:rFonts w:hint="eastAsia" w:ascii="宋体" w:hAnsi="宋体" w:cs="宋体"/>
          <w:sz w:val="24"/>
        </w:rPr>
        <w:t>28.3质疑函递交方式见</w:t>
      </w:r>
      <w:r>
        <w:rPr>
          <w:rFonts w:hint="eastAsia" w:ascii="宋体" w:hAnsi="宋体" w:cs="宋体"/>
          <w:sz w:val="24"/>
          <w:u w:val="single"/>
        </w:rPr>
        <w:t>供应商须知前附表</w:t>
      </w:r>
      <w:r>
        <w:rPr>
          <w:rFonts w:hint="eastAsia" w:ascii="宋体" w:hAnsi="宋体" w:cs="宋体"/>
          <w:sz w:val="24"/>
        </w:rPr>
        <w:t>。</w:t>
      </w:r>
    </w:p>
    <w:p w14:paraId="3A0341C8">
      <w:pPr>
        <w:spacing w:line="360" w:lineRule="auto"/>
        <w:ind w:firstLine="437"/>
        <w:outlineLvl w:val="2"/>
        <w:rPr>
          <w:rFonts w:ascii="宋体" w:hAnsi="宋体" w:cs="宋体"/>
          <w:b/>
          <w:sz w:val="24"/>
        </w:rPr>
      </w:pPr>
      <w:r>
        <w:rPr>
          <w:rFonts w:hint="eastAsia" w:ascii="宋体" w:hAnsi="宋体" w:cs="宋体"/>
          <w:b/>
          <w:sz w:val="24"/>
        </w:rPr>
        <w:t>29.需要补充的其他内容</w:t>
      </w:r>
    </w:p>
    <w:p w14:paraId="10948A67">
      <w:pPr>
        <w:spacing w:line="360" w:lineRule="auto"/>
        <w:ind w:firstLine="437"/>
        <w:outlineLvl w:val="2"/>
        <w:rPr>
          <w:rFonts w:ascii="宋体" w:hAnsi="宋体" w:cs="宋体"/>
          <w:b/>
          <w:sz w:val="28"/>
        </w:rPr>
      </w:pPr>
      <w:r>
        <w:rPr>
          <w:rFonts w:hint="eastAsia" w:ascii="宋体" w:hAnsi="宋体" w:cs="宋体"/>
          <w:sz w:val="24"/>
        </w:rPr>
        <w:t>需要补充的其他内容，见</w:t>
      </w:r>
      <w:r>
        <w:rPr>
          <w:rFonts w:hint="eastAsia" w:ascii="宋体" w:hAnsi="宋体" w:cs="宋体"/>
          <w:sz w:val="24"/>
          <w:u w:val="single"/>
        </w:rPr>
        <w:t>供应商须知前附表</w:t>
      </w:r>
      <w:r>
        <w:rPr>
          <w:rFonts w:hint="eastAsia" w:ascii="宋体" w:hAnsi="宋体" w:cs="宋体"/>
          <w:sz w:val="24"/>
        </w:rPr>
        <w:t>。</w:t>
      </w:r>
      <w:r>
        <w:rPr>
          <w:rFonts w:hint="eastAsia" w:ascii="宋体" w:hAnsi="宋体" w:cs="宋体"/>
          <w:sz w:val="24"/>
        </w:rPr>
        <w:br w:type="page"/>
      </w:r>
    </w:p>
    <w:p w14:paraId="7EB7650C">
      <w:pPr>
        <w:spacing w:line="360" w:lineRule="auto"/>
        <w:jc w:val="center"/>
        <w:outlineLvl w:val="0"/>
        <w:rPr>
          <w:rFonts w:ascii="宋体" w:hAnsi="宋体" w:cs="宋体"/>
          <w:b/>
          <w:sz w:val="28"/>
        </w:rPr>
      </w:pPr>
      <w:bookmarkStart w:id="69" w:name="_Toc19656"/>
      <w:r>
        <w:rPr>
          <w:rFonts w:hint="eastAsia" w:ascii="宋体" w:hAnsi="宋体" w:cs="宋体"/>
          <w:b/>
          <w:sz w:val="28"/>
        </w:rPr>
        <w:t>第三章  采购需求</w:t>
      </w:r>
      <w:bookmarkEnd w:id="69"/>
    </w:p>
    <w:p w14:paraId="549E4883">
      <w:pPr>
        <w:spacing w:line="360" w:lineRule="auto"/>
        <w:rPr>
          <w:rFonts w:ascii="宋体" w:hAnsi="宋体" w:cs="宋体"/>
          <w:b/>
          <w:sz w:val="24"/>
        </w:rPr>
      </w:pPr>
      <w:r>
        <w:rPr>
          <w:rFonts w:hint="eastAsia" w:ascii="宋体" w:hAnsi="宋体" w:cs="宋体"/>
          <w:b/>
          <w:sz w:val="24"/>
        </w:rPr>
        <w:t>前注：</w:t>
      </w:r>
    </w:p>
    <w:p w14:paraId="5AB0C9FB">
      <w:pPr>
        <w:spacing w:line="360" w:lineRule="auto"/>
        <w:ind w:firstLine="480" w:firstLineChars="200"/>
        <w:rPr>
          <w:rFonts w:ascii="宋体" w:hAnsi="宋体" w:cs="宋体"/>
          <w:sz w:val="24"/>
          <w:szCs w:val="24"/>
        </w:rPr>
      </w:pPr>
      <w:r>
        <w:rPr>
          <w:rFonts w:hint="eastAsia" w:ascii="宋体" w:hAnsi="宋体" w:cs="宋体"/>
          <w:sz w:val="24"/>
          <w:szCs w:val="24"/>
        </w:rPr>
        <w:t>本采购需求中提出的服务方案仅为参考，如无明确限制，供应商可以进行优化，提供满足发包人实际需要的更优（或者性能实质上不低于的）服务方案，且此方案须经评审小组评审认可。</w:t>
      </w:r>
    </w:p>
    <w:p w14:paraId="06ED1A46">
      <w:pPr>
        <w:spacing w:line="360" w:lineRule="auto"/>
        <w:ind w:firstLine="437"/>
        <w:outlineLvl w:val="1"/>
        <w:rPr>
          <w:rFonts w:ascii="宋体" w:hAnsi="宋体" w:cs="宋体"/>
          <w:b/>
          <w:sz w:val="24"/>
          <w:szCs w:val="18"/>
        </w:rPr>
      </w:pPr>
      <w:bookmarkStart w:id="70" w:name="_Toc26349"/>
      <w:bookmarkStart w:id="71" w:name="_Toc7699"/>
      <w:bookmarkStart w:id="72" w:name="_Toc1479"/>
      <w:bookmarkStart w:id="73" w:name="_Toc7805"/>
      <w:r>
        <w:rPr>
          <w:rFonts w:hint="eastAsia" w:ascii="宋体" w:hAnsi="宋体" w:cs="宋体"/>
          <w:b/>
          <w:sz w:val="24"/>
          <w:szCs w:val="18"/>
        </w:rPr>
        <w:t>一、采购需求前附表</w:t>
      </w:r>
      <w:bookmarkEnd w:id="70"/>
      <w:bookmarkEnd w:id="71"/>
      <w:bookmarkEnd w:id="72"/>
      <w:bookmarkEnd w:id="73"/>
    </w:p>
    <w:tbl>
      <w:tblPr>
        <w:tblStyle w:val="24"/>
        <w:tblW w:w="50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9" w:type="dxa"/>
          <w:bottom w:w="0" w:type="dxa"/>
          <w:right w:w="79" w:type="dxa"/>
        </w:tblCellMar>
      </w:tblPr>
      <w:tblGrid>
        <w:gridCol w:w="648"/>
        <w:gridCol w:w="1317"/>
        <w:gridCol w:w="6674"/>
      </w:tblGrid>
      <w:tr w14:paraId="0C4F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7" w:hRule="atLeast"/>
          <w:jc w:val="center"/>
        </w:trPr>
        <w:tc>
          <w:tcPr>
            <w:tcW w:w="375" w:type="pct"/>
            <w:vAlign w:val="center"/>
          </w:tcPr>
          <w:p w14:paraId="7A7DDEE9">
            <w:pPr>
              <w:pStyle w:val="46"/>
              <w:pBdr>
                <w:bottom w:val="none" w:color="auto" w:sz="0" w:space="0"/>
              </w:pBdr>
              <w:tabs>
                <w:tab w:val="clear" w:pos="4153"/>
                <w:tab w:val="clear" w:pos="8306"/>
              </w:tabs>
              <w:adjustRightInd/>
              <w:spacing w:line="440" w:lineRule="exact"/>
              <w:textAlignment w:val="auto"/>
              <w:rPr>
                <w:rFonts w:ascii="宋体" w:hAnsi="宋体" w:cs="宋体"/>
                <w:b/>
                <w:kern w:val="2"/>
              </w:rPr>
            </w:pPr>
            <w:bookmarkStart w:id="74" w:name="_Hlk16461016"/>
            <w:r>
              <w:rPr>
                <w:rFonts w:hint="eastAsia" w:ascii="宋体" w:hAnsi="宋体" w:cs="宋体"/>
                <w:b/>
                <w:kern w:val="2"/>
              </w:rPr>
              <w:t>序号</w:t>
            </w:r>
          </w:p>
        </w:tc>
        <w:tc>
          <w:tcPr>
            <w:tcW w:w="762" w:type="pct"/>
            <w:vAlign w:val="center"/>
          </w:tcPr>
          <w:p w14:paraId="661E674B">
            <w:pPr>
              <w:pStyle w:val="45"/>
              <w:widowControl w:val="0"/>
              <w:spacing w:before="0" w:beforeAutospacing="0" w:after="0" w:afterAutospacing="0" w:line="440" w:lineRule="exact"/>
              <w:rPr>
                <w:rFonts w:ascii="宋体" w:hAnsi="宋体" w:cs="宋体"/>
                <w:bCs w:val="0"/>
                <w:sz w:val="24"/>
              </w:rPr>
            </w:pPr>
            <w:r>
              <w:rPr>
                <w:rFonts w:hint="eastAsia" w:ascii="宋体" w:hAnsi="宋体" w:cs="宋体"/>
                <w:bCs w:val="0"/>
                <w:sz w:val="24"/>
              </w:rPr>
              <w:t>条款名称</w:t>
            </w:r>
          </w:p>
        </w:tc>
        <w:tc>
          <w:tcPr>
            <w:tcW w:w="3861" w:type="pct"/>
            <w:vAlign w:val="center"/>
          </w:tcPr>
          <w:p w14:paraId="0DA81E6B">
            <w:pPr>
              <w:pStyle w:val="45"/>
              <w:widowControl w:val="0"/>
              <w:spacing w:before="0" w:beforeAutospacing="0" w:after="0" w:afterAutospacing="0" w:line="440" w:lineRule="exact"/>
              <w:rPr>
                <w:rFonts w:ascii="宋体" w:hAnsi="宋体" w:cs="宋体"/>
                <w:bCs w:val="0"/>
                <w:sz w:val="24"/>
              </w:rPr>
            </w:pPr>
            <w:r>
              <w:rPr>
                <w:rFonts w:hint="eastAsia" w:ascii="宋体" w:hAnsi="宋体" w:cs="宋体"/>
                <w:bCs w:val="0"/>
                <w:sz w:val="24"/>
              </w:rPr>
              <w:t>内容、说明与要求</w:t>
            </w:r>
          </w:p>
        </w:tc>
      </w:tr>
      <w:tr w14:paraId="08B3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375" w:type="pct"/>
            <w:vAlign w:val="center"/>
          </w:tcPr>
          <w:p w14:paraId="0FF75C2B">
            <w:pPr>
              <w:pStyle w:val="46"/>
              <w:pBdr>
                <w:bottom w:val="none" w:color="auto" w:sz="0" w:space="0"/>
              </w:pBdr>
              <w:tabs>
                <w:tab w:val="clear" w:pos="4153"/>
                <w:tab w:val="clear" w:pos="8306"/>
              </w:tabs>
              <w:adjustRightInd/>
              <w:spacing w:line="440" w:lineRule="exact"/>
              <w:textAlignment w:val="auto"/>
              <w:rPr>
                <w:rFonts w:ascii="宋体" w:hAnsi="宋体" w:cs="宋体"/>
                <w:bCs/>
                <w:kern w:val="2"/>
              </w:rPr>
            </w:pPr>
            <w:r>
              <w:rPr>
                <w:rFonts w:hint="eastAsia" w:ascii="宋体" w:hAnsi="宋体" w:cs="宋体"/>
                <w:bCs/>
                <w:kern w:val="2"/>
              </w:rPr>
              <w:t>1</w:t>
            </w:r>
          </w:p>
        </w:tc>
        <w:tc>
          <w:tcPr>
            <w:tcW w:w="762" w:type="pct"/>
            <w:vAlign w:val="center"/>
          </w:tcPr>
          <w:p w14:paraId="53F8881E">
            <w:pPr>
              <w:pStyle w:val="45"/>
              <w:widowControl w:val="0"/>
              <w:spacing w:before="0" w:beforeAutospacing="0" w:after="0" w:afterAutospacing="0" w:line="440" w:lineRule="exact"/>
              <w:rPr>
                <w:rFonts w:ascii="宋体" w:hAnsi="宋体" w:cs="宋体"/>
                <w:b w:val="0"/>
                <w:sz w:val="24"/>
              </w:rPr>
            </w:pPr>
            <w:r>
              <w:rPr>
                <w:rFonts w:hint="eastAsia" w:ascii="宋体" w:hAnsi="宋体" w:cs="宋体"/>
                <w:b w:val="0"/>
                <w:sz w:val="24"/>
              </w:rPr>
              <w:t>付款方式</w:t>
            </w:r>
          </w:p>
        </w:tc>
        <w:tc>
          <w:tcPr>
            <w:tcW w:w="3861" w:type="pct"/>
            <w:vAlign w:val="center"/>
          </w:tcPr>
          <w:p w14:paraId="583B8BE6">
            <w:pPr>
              <w:pStyle w:val="45"/>
              <w:widowControl w:val="0"/>
              <w:spacing w:before="0" w:beforeAutospacing="0" w:after="0" w:afterAutospacing="0" w:line="440" w:lineRule="exact"/>
              <w:jc w:val="both"/>
              <w:rPr>
                <w:rFonts w:ascii="宋体" w:hAnsi="宋体" w:cs="宋体"/>
                <w:b w:val="0"/>
                <w:sz w:val="24"/>
              </w:rPr>
            </w:pPr>
            <w:r>
              <w:rPr>
                <w:rFonts w:hint="eastAsia" w:ascii="宋体" w:hAnsi="宋体" w:cs="宋体"/>
                <w:b w:val="0"/>
                <w:sz w:val="24"/>
              </w:rPr>
              <w:t>项目验收合格后，发包人付清合同价款。</w:t>
            </w:r>
          </w:p>
          <w:p w14:paraId="622326D6">
            <w:pPr>
              <w:pStyle w:val="45"/>
              <w:widowControl w:val="0"/>
              <w:spacing w:before="0" w:beforeAutospacing="0" w:after="0" w:afterAutospacing="0" w:line="440" w:lineRule="exact"/>
              <w:jc w:val="both"/>
              <w:rPr>
                <w:rFonts w:ascii="宋体" w:hAnsi="宋体" w:cs="宋体"/>
                <w:sz w:val="24"/>
              </w:rPr>
            </w:pPr>
            <w:r>
              <w:rPr>
                <w:rFonts w:hint="eastAsia" w:ascii="宋体" w:hAnsi="宋体" w:cs="宋体"/>
                <w:bCs w:val="0"/>
                <w:sz w:val="24"/>
              </w:rPr>
              <w:t>（供应商提交的响应文件中如有关于付款条件的表述与发包文件规定不符，将被视为实质性不响应，将导致响应无效）</w:t>
            </w:r>
          </w:p>
        </w:tc>
      </w:tr>
      <w:tr w14:paraId="4F27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88" w:hRule="atLeast"/>
          <w:jc w:val="center"/>
        </w:trPr>
        <w:tc>
          <w:tcPr>
            <w:tcW w:w="375" w:type="pct"/>
            <w:vAlign w:val="center"/>
          </w:tcPr>
          <w:p w14:paraId="67F1ABA6">
            <w:pPr>
              <w:pStyle w:val="46"/>
              <w:pBdr>
                <w:bottom w:val="none" w:color="auto" w:sz="0" w:space="0"/>
              </w:pBdr>
              <w:tabs>
                <w:tab w:val="clear" w:pos="4153"/>
                <w:tab w:val="clear" w:pos="8306"/>
              </w:tabs>
              <w:adjustRightInd/>
              <w:spacing w:line="440" w:lineRule="exact"/>
              <w:textAlignment w:val="auto"/>
              <w:rPr>
                <w:rFonts w:ascii="宋体" w:hAnsi="宋体" w:cs="宋体"/>
                <w:bCs/>
                <w:kern w:val="2"/>
              </w:rPr>
            </w:pPr>
            <w:r>
              <w:rPr>
                <w:rFonts w:hint="eastAsia" w:ascii="宋体" w:hAnsi="宋体" w:cs="宋体"/>
                <w:bCs/>
                <w:kern w:val="2"/>
              </w:rPr>
              <w:t>2</w:t>
            </w:r>
          </w:p>
        </w:tc>
        <w:tc>
          <w:tcPr>
            <w:tcW w:w="762" w:type="pct"/>
            <w:vAlign w:val="center"/>
          </w:tcPr>
          <w:p w14:paraId="75BDD185">
            <w:pPr>
              <w:pStyle w:val="45"/>
              <w:widowControl w:val="0"/>
              <w:spacing w:before="0" w:beforeAutospacing="0" w:after="0" w:afterAutospacing="0" w:line="440" w:lineRule="exact"/>
              <w:rPr>
                <w:rFonts w:ascii="宋体" w:hAnsi="宋体" w:cs="宋体"/>
                <w:b w:val="0"/>
                <w:sz w:val="24"/>
              </w:rPr>
            </w:pPr>
            <w:r>
              <w:rPr>
                <w:rFonts w:hint="eastAsia" w:ascii="宋体" w:hAnsi="宋体" w:cs="宋体"/>
                <w:b w:val="0"/>
                <w:sz w:val="24"/>
              </w:rPr>
              <w:t>服务地点</w:t>
            </w:r>
          </w:p>
        </w:tc>
        <w:tc>
          <w:tcPr>
            <w:tcW w:w="3861" w:type="pct"/>
            <w:vAlign w:val="center"/>
          </w:tcPr>
          <w:p w14:paraId="60952BF5">
            <w:pPr>
              <w:pStyle w:val="45"/>
              <w:widowControl w:val="0"/>
              <w:spacing w:before="0" w:beforeAutospacing="0" w:after="0" w:afterAutospacing="0" w:line="440" w:lineRule="exact"/>
              <w:jc w:val="both"/>
              <w:rPr>
                <w:rFonts w:ascii="宋体" w:hAnsi="宋体" w:cs="宋体"/>
                <w:b w:val="0"/>
                <w:sz w:val="24"/>
              </w:rPr>
            </w:pPr>
            <w:r>
              <w:rPr>
                <w:rFonts w:hint="eastAsia" w:ascii="宋体" w:hAnsi="宋体" w:cs="宋体"/>
                <w:b w:val="0"/>
                <w:sz w:val="24"/>
              </w:rPr>
              <w:t>发包人指定地点。</w:t>
            </w:r>
          </w:p>
        </w:tc>
      </w:tr>
      <w:tr w14:paraId="5DE9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61" w:hRule="atLeast"/>
          <w:jc w:val="center"/>
        </w:trPr>
        <w:tc>
          <w:tcPr>
            <w:tcW w:w="375" w:type="pct"/>
            <w:vAlign w:val="center"/>
          </w:tcPr>
          <w:p w14:paraId="35BDEE23">
            <w:pPr>
              <w:pStyle w:val="46"/>
              <w:pBdr>
                <w:bottom w:val="none" w:color="auto" w:sz="0" w:space="0"/>
              </w:pBdr>
              <w:tabs>
                <w:tab w:val="clear" w:pos="4153"/>
                <w:tab w:val="clear" w:pos="8306"/>
              </w:tabs>
              <w:adjustRightInd/>
              <w:spacing w:line="440" w:lineRule="exact"/>
              <w:textAlignment w:val="auto"/>
              <w:rPr>
                <w:rFonts w:ascii="宋体" w:hAnsi="宋体" w:cs="宋体"/>
                <w:bCs/>
                <w:kern w:val="2"/>
              </w:rPr>
            </w:pPr>
            <w:r>
              <w:rPr>
                <w:rFonts w:hint="eastAsia" w:ascii="宋体" w:hAnsi="宋体" w:cs="宋体"/>
                <w:bCs/>
                <w:kern w:val="2"/>
              </w:rPr>
              <w:t>3</w:t>
            </w:r>
          </w:p>
        </w:tc>
        <w:tc>
          <w:tcPr>
            <w:tcW w:w="762" w:type="pct"/>
            <w:vAlign w:val="center"/>
          </w:tcPr>
          <w:p w14:paraId="589F5FB4">
            <w:pPr>
              <w:pStyle w:val="45"/>
              <w:widowControl w:val="0"/>
              <w:spacing w:before="0" w:beforeAutospacing="0" w:after="0" w:afterAutospacing="0" w:line="440" w:lineRule="exact"/>
              <w:rPr>
                <w:rFonts w:ascii="宋体" w:hAnsi="宋体" w:cs="宋体"/>
                <w:b w:val="0"/>
                <w:sz w:val="24"/>
              </w:rPr>
            </w:pPr>
            <w:r>
              <w:rPr>
                <w:rFonts w:hint="eastAsia" w:ascii="宋体" w:hAnsi="宋体" w:cs="宋体"/>
                <w:b w:val="0"/>
                <w:sz w:val="24"/>
              </w:rPr>
              <w:t>服务期限</w:t>
            </w:r>
          </w:p>
        </w:tc>
        <w:tc>
          <w:tcPr>
            <w:tcW w:w="3861" w:type="pct"/>
            <w:vAlign w:val="center"/>
          </w:tcPr>
          <w:p w14:paraId="1CDAC971">
            <w:pPr>
              <w:pStyle w:val="45"/>
              <w:widowControl w:val="0"/>
              <w:spacing w:before="0" w:beforeAutospacing="0" w:after="0" w:afterAutospacing="0" w:line="440" w:lineRule="exact"/>
              <w:jc w:val="both"/>
              <w:rPr>
                <w:rFonts w:ascii="宋体" w:hAnsi="宋体" w:cs="宋体"/>
                <w:b w:val="0"/>
                <w:sz w:val="24"/>
              </w:rPr>
            </w:pPr>
            <w:r>
              <w:rPr>
                <w:rFonts w:hint="eastAsia" w:ascii="宋体" w:hAnsi="宋体" w:cs="宋体"/>
                <w:b w:val="0"/>
                <w:sz w:val="24"/>
              </w:rPr>
              <w:t>成交供应商须在合同签订生效后15个日历天内完成本项目全部建设内容（含供货、拆除、安装、调试）并交付发包人使用。</w:t>
            </w:r>
          </w:p>
        </w:tc>
      </w:tr>
    </w:tbl>
    <w:p w14:paraId="1BD11B62">
      <w:pPr>
        <w:spacing w:line="360" w:lineRule="auto"/>
        <w:ind w:firstLine="482" w:firstLineChars="200"/>
        <w:rPr>
          <w:rFonts w:ascii="宋体" w:hAnsi="宋体" w:cs="宋体"/>
          <w:b/>
          <w:bCs/>
          <w:sz w:val="24"/>
          <w:szCs w:val="24"/>
        </w:rPr>
      </w:pPr>
      <w:r>
        <w:rPr>
          <w:rFonts w:hint="eastAsia" w:ascii="宋体" w:hAnsi="宋体" w:cs="宋体"/>
          <w:b/>
          <w:bCs/>
          <w:sz w:val="24"/>
          <w:szCs w:val="24"/>
        </w:rPr>
        <w:t>（二）项目概况</w:t>
      </w:r>
    </w:p>
    <w:p w14:paraId="67D1A339">
      <w:pPr>
        <w:spacing w:line="360" w:lineRule="auto"/>
        <w:ind w:firstLine="480" w:firstLineChars="200"/>
        <w:rPr>
          <w:rFonts w:ascii="宋体" w:hAnsi="宋体" w:cs="宋体"/>
          <w:sz w:val="24"/>
          <w:szCs w:val="24"/>
        </w:rPr>
      </w:pPr>
      <w:r>
        <w:rPr>
          <w:rFonts w:hint="eastAsia" w:ascii="宋体" w:hAnsi="宋体" w:cs="宋体"/>
          <w:sz w:val="24"/>
          <w:szCs w:val="24"/>
        </w:rPr>
        <w:t>本项目为六安市教育体育局考试指挥中心（六安市教育招生考试院二楼会议室）大屏升级改造及监控存储扩容服务采购项目，拟通过对现有会议室显示设备升级、监控存储设备扩容，优化市级国家教育考试指挥中心可视化展示及安防监控存储能力，保障会议展示效果及监控数据存储安全、稳定，全面提升会议显示设备配套及安防运维保障水平。</w:t>
      </w:r>
    </w:p>
    <w:bookmarkEnd w:id="74"/>
    <w:p w14:paraId="6E37CB54">
      <w:pPr>
        <w:widowControl/>
        <w:spacing w:line="360" w:lineRule="auto"/>
        <w:ind w:firstLine="482" w:firstLineChars="200"/>
        <w:jc w:val="left"/>
        <w:rPr>
          <w:rFonts w:ascii="Times New Roman" w:hAnsi="Times New Roman" w:cs="Times New Roman"/>
          <w:color w:val="000000"/>
          <w:sz w:val="24"/>
          <w:szCs w:val="24"/>
        </w:rPr>
      </w:pPr>
      <w:r>
        <w:rPr>
          <w:rFonts w:hint="eastAsia" w:ascii="宋体" w:hAnsi="宋体" w:cs="宋体"/>
          <w:b/>
          <w:bCs/>
          <w:sz w:val="24"/>
          <w:szCs w:val="24"/>
        </w:rPr>
        <w:t>（三）</w:t>
      </w:r>
      <w:r>
        <w:rPr>
          <w:rFonts w:hint="eastAsia" w:ascii="Times New Roman" w:hAnsi="Times New Roman" w:cs="Times New Roman"/>
          <w:color w:val="000000"/>
          <w:sz w:val="24"/>
          <w:szCs w:val="24"/>
        </w:rPr>
        <w:t>服务内容及范围</w:t>
      </w:r>
    </w:p>
    <w:p w14:paraId="49EDDE3B">
      <w:pPr>
        <w:widowControl/>
        <w:spacing w:line="360" w:lineRule="auto"/>
        <w:ind w:firstLine="480" w:firstLineChars="200"/>
        <w:jc w:val="left"/>
        <w:rPr>
          <w:rFonts w:ascii="Times New Roman" w:hAnsi="Times New Roman" w:cs="Times New Roman"/>
          <w:color w:val="000000"/>
          <w:sz w:val="24"/>
          <w:szCs w:val="24"/>
        </w:rPr>
      </w:pPr>
      <w:r>
        <w:rPr>
          <w:rFonts w:hint="eastAsia" w:ascii="Times New Roman" w:hAnsi="Times New Roman" w:cs="Times New Roman"/>
          <w:color w:val="000000"/>
          <w:sz w:val="24"/>
          <w:szCs w:val="24"/>
        </w:rPr>
        <w:t>本项目服务内容及范围为清单载明的全套服务内容、设备、配套材料，成交供应商须完成本项目全部落地实施工作，具体包含但不限于以下内容：</w:t>
      </w:r>
    </w:p>
    <w:tbl>
      <w:tblPr>
        <w:tblStyle w:val="24"/>
        <w:tblW w:w="4999" w:type="pct"/>
        <w:tblInd w:w="0" w:type="dxa"/>
        <w:tblLayout w:type="autofit"/>
        <w:tblCellMar>
          <w:top w:w="0" w:type="dxa"/>
          <w:left w:w="108" w:type="dxa"/>
          <w:bottom w:w="0" w:type="dxa"/>
          <w:right w:w="108" w:type="dxa"/>
        </w:tblCellMar>
      </w:tblPr>
      <w:tblGrid>
        <w:gridCol w:w="1457"/>
        <w:gridCol w:w="1457"/>
        <w:gridCol w:w="5667"/>
      </w:tblGrid>
      <w:tr w14:paraId="48436573">
        <w:tblPrEx>
          <w:tblCellMar>
            <w:top w:w="0" w:type="dxa"/>
            <w:left w:w="108" w:type="dxa"/>
            <w:bottom w:w="0" w:type="dxa"/>
            <w:right w:w="108" w:type="dxa"/>
          </w:tblCellMar>
        </w:tblPrEx>
        <w:trPr>
          <w:trHeight w:val="270" w:hRule="atLeast"/>
        </w:trPr>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BB23E">
            <w:pPr>
              <w:widowControl/>
              <w:jc w:val="center"/>
              <w:textAlignment w:val="center"/>
              <w:rPr>
                <w:rFonts w:ascii="宋体" w:hAnsi="宋体" w:cs="宋体"/>
                <w:b/>
                <w:bCs/>
                <w:color w:val="000000"/>
                <w:sz w:val="22"/>
              </w:rPr>
            </w:pPr>
            <w:r>
              <w:rPr>
                <w:rFonts w:ascii="宋体" w:hAnsi="宋体" w:cs="宋体"/>
                <w:b/>
                <w:bCs/>
                <w:color w:val="000000"/>
                <w:kern w:val="0"/>
                <w:sz w:val="22"/>
              </w:rPr>
              <w:t>序号</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1847">
            <w:pPr>
              <w:widowControl/>
              <w:jc w:val="center"/>
              <w:textAlignment w:val="center"/>
              <w:rPr>
                <w:rFonts w:ascii="宋体" w:hAnsi="宋体" w:cs="宋体"/>
                <w:b/>
                <w:bCs/>
                <w:color w:val="000000"/>
                <w:sz w:val="22"/>
              </w:rPr>
            </w:pPr>
            <w:r>
              <w:rPr>
                <w:rFonts w:ascii="宋体" w:hAnsi="宋体" w:cs="宋体"/>
                <w:b/>
                <w:bCs/>
                <w:color w:val="000000"/>
                <w:kern w:val="0"/>
                <w:sz w:val="22"/>
              </w:rPr>
              <w:t>服务类别</w:t>
            </w:r>
          </w:p>
        </w:tc>
        <w:tc>
          <w:tcPr>
            <w:tcW w:w="3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34965">
            <w:pPr>
              <w:widowControl/>
              <w:jc w:val="center"/>
              <w:textAlignment w:val="center"/>
              <w:rPr>
                <w:rFonts w:ascii="宋体" w:hAnsi="宋体" w:cs="宋体"/>
                <w:b/>
                <w:bCs/>
                <w:color w:val="000000"/>
                <w:sz w:val="22"/>
              </w:rPr>
            </w:pPr>
            <w:r>
              <w:rPr>
                <w:rFonts w:ascii="宋体" w:hAnsi="宋体" w:cs="宋体"/>
                <w:b/>
                <w:bCs/>
                <w:color w:val="000000"/>
                <w:kern w:val="0"/>
                <w:sz w:val="22"/>
              </w:rPr>
              <w:t>服务内容描述</w:t>
            </w:r>
          </w:p>
        </w:tc>
      </w:tr>
      <w:tr w14:paraId="20C571FB">
        <w:tblPrEx>
          <w:tblCellMar>
            <w:top w:w="0" w:type="dxa"/>
            <w:left w:w="108" w:type="dxa"/>
            <w:bottom w:w="0" w:type="dxa"/>
            <w:right w:w="108" w:type="dxa"/>
          </w:tblCellMar>
        </w:tblPrEx>
        <w:trPr>
          <w:trHeight w:val="1350" w:hRule="atLeast"/>
        </w:trPr>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933E9">
            <w:pPr>
              <w:widowControl/>
              <w:jc w:val="center"/>
              <w:textAlignment w:val="center"/>
              <w:rPr>
                <w:rFonts w:ascii="宋体" w:hAnsi="宋体" w:cs="宋体"/>
                <w:color w:val="000000"/>
                <w:sz w:val="22"/>
              </w:rPr>
            </w:pPr>
            <w:r>
              <w:rPr>
                <w:rFonts w:ascii="宋体" w:hAnsi="宋体" w:cs="宋体"/>
                <w:color w:val="000000"/>
                <w:kern w:val="0"/>
                <w:sz w:val="22"/>
              </w:rPr>
              <w:t>1</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15DEF">
            <w:pPr>
              <w:widowControl/>
              <w:jc w:val="center"/>
              <w:textAlignment w:val="center"/>
              <w:rPr>
                <w:rFonts w:ascii="宋体" w:hAnsi="宋体" w:cs="宋体"/>
                <w:color w:val="000000"/>
                <w:sz w:val="22"/>
              </w:rPr>
            </w:pPr>
            <w:r>
              <w:rPr>
                <w:rFonts w:ascii="宋体" w:hAnsi="宋体" w:cs="宋体"/>
                <w:color w:val="000000"/>
                <w:kern w:val="0"/>
                <w:sz w:val="22"/>
              </w:rPr>
              <w:t>设备扩容及拆除服务</w:t>
            </w:r>
          </w:p>
        </w:tc>
        <w:tc>
          <w:tcPr>
            <w:tcW w:w="3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7BD8D">
            <w:pPr>
              <w:widowControl/>
              <w:jc w:val="left"/>
              <w:textAlignment w:val="center"/>
              <w:rPr>
                <w:rFonts w:ascii="宋体" w:hAnsi="宋体" w:cs="宋体"/>
                <w:color w:val="000000"/>
                <w:sz w:val="22"/>
              </w:rPr>
            </w:pPr>
            <w:r>
              <w:rPr>
                <w:rFonts w:ascii="宋体" w:hAnsi="宋体" w:cs="宋体"/>
                <w:color w:val="000000"/>
                <w:kern w:val="0"/>
                <w:sz w:val="22"/>
              </w:rPr>
              <w:t>完成项目所需视频存储设备扩容调试工作，对原有会议室老旧大屏设备进行安全拆除、清运及现场清理，确保拆除过程不损坏现场原有建筑、水电及其他配套设施。</w:t>
            </w:r>
          </w:p>
        </w:tc>
      </w:tr>
      <w:tr w14:paraId="7FBDAD2E">
        <w:tblPrEx>
          <w:tblCellMar>
            <w:top w:w="0" w:type="dxa"/>
            <w:left w:w="108" w:type="dxa"/>
            <w:bottom w:w="0" w:type="dxa"/>
            <w:right w:w="108" w:type="dxa"/>
          </w:tblCellMar>
        </w:tblPrEx>
        <w:trPr>
          <w:trHeight w:val="1350" w:hRule="atLeast"/>
        </w:trPr>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98126">
            <w:pPr>
              <w:widowControl/>
              <w:jc w:val="center"/>
              <w:textAlignment w:val="center"/>
              <w:rPr>
                <w:rFonts w:ascii="宋体" w:hAnsi="宋体" w:cs="宋体"/>
                <w:color w:val="000000"/>
                <w:sz w:val="22"/>
              </w:rPr>
            </w:pPr>
            <w:r>
              <w:rPr>
                <w:rFonts w:ascii="宋体" w:hAnsi="宋体" w:cs="宋体"/>
                <w:color w:val="000000"/>
                <w:kern w:val="0"/>
                <w:sz w:val="22"/>
              </w:rPr>
              <w:t>2</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E83A">
            <w:pPr>
              <w:widowControl/>
              <w:jc w:val="center"/>
              <w:textAlignment w:val="center"/>
              <w:rPr>
                <w:rFonts w:ascii="宋体" w:hAnsi="宋体" w:cs="宋体"/>
                <w:color w:val="000000"/>
                <w:sz w:val="22"/>
              </w:rPr>
            </w:pPr>
            <w:r>
              <w:rPr>
                <w:rFonts w:ascii="宋体" w:hAnsi="宋体" w:cs="宋体"/>
                <w:color w:val="000000"/>
                <w:kern w:val="0"/>
                <w:sz w:val="22"/>
              </w:rPr>
              <w:t>设备供货与安装服务</w:t>
            </w:r>
          </w:p>
        </w:tc>
        <w:tc>
          <w:tcPr>
            <w:tcW w:w="3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BA58">
            <w:pPr>
              <w:widowControl/>
              <w:jc w:val="left"/>
              <w:textAlignment w:val="center"/>
              <w:rPr>
                <w:rFonts w:ascii="宋体" w:hAnsi="宋体" w:cs="宋体"/>
                <w:color w:val="000000"/>
                <w:sz w:val="22"/>
              </w:rPr>
            </w:pPr>
            <w:r>
              <w:rPr>
                <w:rFonts w:ascii="宋体" w:hAnsi="宋体" w:cs="宋体"/>
                <w:color w:val="000000"/>
                <w:kern w:val="0"/>
                <w:sz w:val="22"/>
              </w:rPr>
              <w:t>负责全新全彩 LED 显示屏、配套控制系统等全部设备及备件的采购、供货、运输、装卸、现场保管，同时完成配套钢结构的设计、制作、安装施工工作，保障设备安装稳固、合规。</w:t>
            </w:r>
          </w:p>
        </w:tc>
      </w:tr>
      <w:tr w14:paraId="34A238BF">
        <w:tblPrEx>
          <w:tblCellMar>
            <w:top w:w="0" w:type="dxa"/>
            <w:left w:w="108" w:type="dxa"/>
            <w:bottom w:w="0" w:type="dxa"/>
            <w:right w:w="108" w:type="dxa"/>
          </w:tblCellMar>
        </w:tblPrEx>
        <w:trPr>
          <w:trHeight w:val="1620" w:hRule="atLeast"/>
        </w:trPr>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87B7">
            <w:pPr>
              <w:widowControl/>
              <w:jc w:val="center"/>
              <w:textAlignment w:val="center"/>
              <w:rPr>
                <w:rFonts w:ascii="宋体" w:hAnsi="宋体" w:cs="宋体"/>
                <w:color w:val="000000"/>
                <w:sz w:val="22"/>
              </w:rPr>
            </w:pPr>
            <w:r>
              <w:rPr>
                <w:rFonts w:ascii="宋体" w:hAnsi="宋体" w:cs="宋体"/>
                <w:color w:val="000000"/>
                <w:kern w:val="0"/>
                <w:sz w:val="22"/>
              </w:rPr>
              <w:t>3</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98B46">
            <w:pPr>
              <w:widowControl/>
              <w:jc w:val="center"/>
              <w:textAlignment w:val="center"/>
              <w:rPr>
                <w:rFonts w:ascii="宋体" w:hAnsi="宋体" w:cs="宋体"/>
                <w:color w:val="000000"/>
                <w:sz w:val="22"/>
              </w:rPr>
            </w:pPr>
            <w:r>
              <w:rPr>
                <w:rFonts w:ascii="宋体" w:hAnsi="宋体" w:cs="宋体"/>
                <w:color w:val="000000"/>
                <w:kern w:val="0"/>
                <w:sz w:val="22"/>
              </w:rPr>
              <w:t>布线及系统调试服务</w:t>
            </w:r>
          </w:p>
        </w:tc>
        <w:tc>
          <w:tcPr>
            <w:tcW w:w="3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935D3">
            <w:pPr>
              <w:widowControl/>
              <w:jc w:val="left"/>
              <w:textAlignment w:val="center"/>
              <w:rPr>
                <w:rFonts w:ascii="宋体" w:hAnsi="宋体" w:cs="宋体"/>
                <w:color w:val="000000"/>
                <w:sz w:val="22"/>
              </w:rPr>
            </w:pPr>
            <w:r>
              <w:rPr>
                <w:rFonts w:ascii="宋体" w:hAnsi="宋体" w:cs="宋体"/>
                <w:color w:val="000000"/>
                <w:kern w:val="0"/>
                <w:sz w:val="22"/>
              </w:rPr>
              <w:t>根据现场施工标准及设备运行需求，完成项目全套综合布线施工工作，包含线路铺设、对接、规整、防护等；所有设备及系统安装完成后，开展全面调试、性能检测、系统联调，确保整套设备运行稳定、功能完好，达到项目使用标准及验收要求。</w:t>
            </w:r>
          </w:p>
        </w:tc>
      </w:tr>
      <w:tr w14:paraId="513F9C29">
        <w:tblPrEx>
          <w:tblCellMar>
            <w:top w:w="0" w:type="dxa"/>
            <w:left w:w="108" w:type="dxa"/>
            <w:bottom w:w="0" w:type="dxa"/>
            <w:right w:w="108" w:type="dxa"/>
          </w:tblCellMar>
        </w:tblPrEx>
        <w:trPr>
          <w:trHeight w:val="1350" w:hRule="atLeast"/>
        </w:trPr>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E8DD">
            <w:pPr>
              <w:widowControl/>
              <w:jc w:val="center"/>
              <w:textAlignment w:val="center"/>
              <w:rPr>
                <w:rFonts w:ascii="宋体" w:hAnsi="宋体" w:cs="宋体"/>
                <w:color w:val="000000"/>
                <w:sz w:val="22"/>
              </w:rPr>
            </w:pPr>
            <w:r>
              <w:rPr>
                <w:rFonts w:ascii="宋体" w:hAnsi="宋体" w:cs="宋体"/>
                <w:color w:val="000000"/>
                <w:kern w:val="0"/>
                <w:sz w:val="22"/>
              </w:rPr>
              <w:t>4</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ECBE6">
            <w:pPr>
              <w:widowControl/>
              <w:jc w:val="center"/>
              <w:textAlignment w:val="center"/>
              <w:rPr>
                <w:rFonts w:ascii="宋体" w:hAnsi="宋体" w:cs="宋体"/>
                <w:color w:val="000000"/>
                <w:sz w:val="22"/>
              </w:rPr>
            </w:pPr>
            <w:r>
              <w:rPr>
                <w:rFonts w:ascii="宋体" w:hAnsi="宋体" w:cs="宋体"/>
                <w:color w:val="000000"/>
                <w:kern w:val="0"/>
                <w:sz w:val="22"/>
              </w:rPr>
              <w:t>培训服务</w:t>
            </w:r>
          </w:p>
        </w:tc>
        <w:tc>
          <w:tcPr>
            <w:tcW w:w="3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31F69">
            <w:pPr>
              <w:widowControl/>
              <w:jc w:val="left"/>
              <w:textAlignment w:val="center"/>
              <w:rPr>
                <w:rFonts w:ascii="宋体" w:hAnsi="宋体" w:cs="宋体"/>
                <w:color w:val="000000"/>
                <w:sz w:val="22"/>
              </w:rPr>
            </w:pPr>
            <w:r>
              <w:rPr>
                <w:rFonts w:ascii="宋体" w:hAnsi="宋体" w:cs="宋体"/>
                <w:color w:val="000000"/>
                <w:kern w:val="0"/>
                <w:sz w:val="22"/>
              </w:rPr>
              <w:t>项目验收交付前，为</w:t>
            </w:r>
            <w:r>
              <w:rPr>
                <w:rFonts w:hint="eastAsia" w:ascii="宋体" w:hAnsi="宋体" w:cs="宋体"/>
                <w:color w:val="000000"/>
                <w:kern w:val="0"/>
                <w:sz w:val="22"/>
              </w:rPr>
              <w:t>发包人</w:t>
            </w:r>
            <w:r>
              <w:rPr>
                <w:rFonts w:ascii="宋体" w:hAnsi="宋体" w:cs="宋体"/>
                <w:color w:val="000000"/>
                <w:kern w:val="0"/>
                <w:sz w:val="22"/>
              </w:rPr>
              <w:t>提供免费专业操作培训，涵盖设备基础操作、功能使用、日常维护、简单故障排查、系统管理等内容，确保相关人员可独立熟练操作设备、开展日常运维工作。</w:t>
            </w:r>
          </w:p>
        </w:tc>
      </w:tr>
      <w:tr w14:paraId="0D8EE4F4">
        <w:tblPrEx>
          <w:tblCellMar>
            <w:top w:w="0" w:type="dxa"/>
            <w:left w:w="108" w:type="dxa"/>
            <w:bottom w:w="0" w:type="dxa"/>
            <w:right w:w="108" w:type="dxa"/>
          </w:tblCellMar>
        </w:tblPrEx>
        <w:trPr>
          <w:trHeight w:val="1080" w:hRule="atLeast"/>
        </w:trPr>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963BA">
            <w:pPr>
              <w:widowControl/>
              <w:jc w:val="center"/>
              <w:textAlignment w:val="center"/>
              <w:rPr>
                <w:rFonts w:ascii="宋体" w:hAnsi="宋体" w:cs="宋体"/>
                <w:color w:val="000000"/>
                <w:sz w:val="22"/>
              </w:rPr>
            </w:pPr>
            <w:r>
              <w:rPr>
                <w:rFonts w:ascii="宋体" w:hAnsi="宋体" w:cs="宋体"/>
                <w:color w:val="000000"/>
                <w:kern w:val="0"/>
                <w:sz w:val="22"/>
              </w:rPr>
              <w:t>5</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33735">
            <w:pPr>
              <w:widowControl/>
              <w:jc w:val="center"/>
              <w:textAlignment w:val="center"/>
              <w:rPr>
                <w:rFonts w:ascii="宋体" w:hAnsi="宋体" w:cs="宋体"/>
                <w:color w:val="000000"/>
                <w:sz w:val="22"/>
              </w:rPr>
            </w:pPr>
            <w:r>
              <w:rPr>
                <w:rFonts w:ascii="宋体" w:hAnsi="宋体" w:cs="宋体"/>
                <w:color w:val="000000"/>
                <w:kern w:val="0"/>
                <w:sz w:val="22"/>
              </w:rPr>
              <w:t>验收及售后保障服务</w:t>
            </w:r>
          </w:p>
        </w:tc>
        <w:tc>
          <w:tcPr>
            <w:tcW w:w="3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30BD4">
            <w:pPr>
              <w:widowControl/>
              <w:jc w:val="left"/>
              <w:textAlignment w:val="center"/>
              <w:rPr>
                <w:rFonts w:ascii="宋体" w:hAnsi="宋体" w:cs="宋体"/>
                <w:color w:val="000000"/>
                <w:sz w:val="22"/>
              </w:rPr>
            </w:pPr>
            <w:r>
              <w:rPr>
                <w:rFonts w:ascii="宋体" w:hAnsi="宋体" w:cs="宋体"/>
                <w:color w:val="000000"/>
                <w:kern w:val="0"/>
                <w:sz w:val="22"/>
              </w:rPr>
              <w:t>全程配合</w:t>
            </w:r>
            <w:r>
              <w:rPr>
                <w:rFonts w:hint="eastAsia" w:ascii="宋体" w:hAnsi="宋体" w:cs="宋体"/>
                <w:color w:val="000000"/>
                <w:kern w:val="0"/>
                <w:sz w:val="22"/>
              </w:rPr>
              <w:t>发包</w:t>
            </w:r>
            <w:r>
              <w:rPr>
                <w:rFonts w:ascii="宋体" w:hAnsi="宋体" w:cs="宋体"/>
                <w:color w:val="000000"/>
                <w:kern w:val="0"/>
                <w:sz w:val="22"/>
              </w:rPr>
              <w:t>人完成项目阶段性及最终竣工验收工作，严格按照国家相关标准、行业规范及采购要求提供全套售后服务，保障项目长期稳定运行。</w:t>
            </w:r>
          </w:p>
        </w:tc>
      </w:tr>
      <w:tr w14:paraId="40ECE65C">
        <w:tblPrEx>
          <w:tblCellMar>
            <w:top w:w="0" w:type="dxa"/>
            <w:left w:w="108" w:type="dxa"/>
            <w:bottom w:w="0" w:type="dxa"/>
            <w:right w:w="108" w:type="dxa"/>
          </w:tblCellMar>
        </w:tblPrEx>
        <w:trPr>
          <w:trHeight w:val="1080" w:hRule="atLeast"/>
        </w:trPr>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DAF68">
            <w:pPr>
              <w:widowControl/>
              <w:jc w:val="center"/>
              <w:textAlignment w:val="center"/>
              <w:rPr>
                <w:rFonts w:ascii="宋体" w:hAnsi="宋体" w:cs="宋体"/>
                <w:color w:val="000000"/>
                <w:kern w:val="0"/>
                <w:sz w:val="22"/>
              </w:rPr>
            </w:pPr>
            <w:r>
              <w:rPr>
                <w:rFonts w:ascii="宋体" w:hAnsi="宋体" w:cs="宋体"/>
                <w:color w:val="000000"/>
                <w:kern w:val="0"/>
                <w:sz w:val="22"/>
              </w:rPr>
              <w:t>6</w:t>
            </w:r>
          </w:p>
        </w:tc>
        <w:tc>
          <w:tcPr>
            <w:tcW w:w="8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1ECF">
            <w:pPr>
              <w:widowControl/>
              <w:jc w:val="center"/>
              <w:textAlignment w:val="center"/>
              <w:rPr>
                <w:rFonts w:ascii="宋体" w:hAnsi="宋体" w:cs="宋体"/>
                <w:color w:val="000000"/>
                <w:kern w:val="0"/>
                <w:sz w:val="22"/>
              </w:rPr>
            </w:pPr>
            <w:r>
              <w:rPr>
                <w:rFonts w:ascii="宋体" w:hAnsi="宋体" w:cs="宋体"/>
                <w:color w:val="000000"/>
                <w:kern w:val="0"/>
                <w:sz w:val="22"/>
              </w:rPr>
              <w:t>设备采购服务</w:t>
            </w:r>
          </w:p>
        </w:tc>
        <w:tc>
          <w:tcPr>
            <w:tcW w:w="33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6C441">
            <w:pPr>
              <w:widowControl/>
              <w:jc w:val="left"/>
              <w:textAlignment w:val="center"/>
              <w:rPr>
                <w:rFonts w:ascii="宋体" w:hAnsi="宋体" w:cs="宋体"/>
                <w:color w:val="000000"/>
                <w:kern w:val="0"/>
                <w:sz w:val="22"/>
              </w:rPr>
            </w:pPr>
            <w:r>
              <w:rPr>
                <w:rFonts w:ascii="宋体" w:hAnsi="宋体" w:cs="宋体"/>
                <w:color w:val="000000"/>
                <w:kern w:val="0"/>
                <w:sz w:val="22"/>
              </w:rPr>
              <w:t>详见设备清单，</w:t>
            </w:r>
            <w:r>
              <w:rPr>
                <w:rFonts w:hint="eastAsia" w:ascii="宋体" w:hAnsi="宋体" w:cs="宋体"/>
                <w:color w:val="000000"/>
                <w:kern w:val="0"/>
                <w:sz w:val="22"/>
              </w:rPr>
              <w:t>供应商响应</w:t>
            </w:r>
            <w:r>
              <w:rPr>
                <w:rFonts w:ascii="宋体" w:hAnsi="宋体" w:cs="宋体"/>
                <w:color w:val="000000"/>
                <w:kern w:val="0"/>
                <w:sz w:val="22"/>
              </w:rPr>
              <w:t>时需按照清单要求提供相关证明材料</w:t>
            </w:r>
            <w:r>
              <w:rPr>
                <w:rFonts w:hint="eastAsia" w:ascii="宋体" w:hAnsi="宋体" w:cs="宋体"/>
                <w:color w:val="000000"/>
                <w:kern w:val="0"/>
                <w:sz w:val="22"/>
              </w:rPr>
              <w:t>。</w:t>
            </w:r>
          </w:p>
        </w:tc>
      </w:tr>
    </w:tbl>
    <w:p w14:paraId="09E3AB24">
      <w:pPr>
        <w:widowControl/>
        <w:spacing w:line="360" w:lineRule="auto"/>
        <w:ind w:firstLine="482" w:firstLineChars="200"/>
        <w:jc w:val="left"/>
        <w:rPr>
          <w:rFonts w:ascii="Times New Roman" w:hAnsi="Times New Roman" w:cs="Times New Roman"/>
          <w:b/>
          <w:bCs/>
          <w:sz w:val="24"/>
          <w:szCs w:val="24"/>
        </w:rPr>
      </w:pPr>
    </w:p>
    <w:p w14:paraId="096BDF98">
      <w:pPr>
        <w:spacing w:line="360" w:lineRule="auto"/>
        <w:ind w:firstLine="482" w:firstLineChars="200"/>
        <w:rPr>
          <w:rFonts w:ascii="宋体" w:hAnsi="宋体" w:cs="宋体"/>
          <w:b/>
          <w:bCs/>
          <w:sz w:val="24"/>
          <w:szCs w:val="24"/>
        </w:rPr>
      </w:pPr>
      <w:r>
        <w:rPr>
          <w:rFonts w:hint="eastAsia" w:ascii="宋体" w:hAnsi="宋体" w:cs="宋体"/>
          <w:b/>
          <w:bCs/>
          <w:sz w:val="24"/>
          <w:szCs w:val="24"/>
        </w:rPr>
        <w:t>设备清单</w:t>
      </w:r>
    </w:p>
    <w:tbl>
      <w:tblPr>
        <w:tblStyle w:val="24"/>
        <w:tblW w:w="4998" w:type="pct"/>
        <w:tblInd w:w="0" w:type="dxa"/>
        <w:tblLayout w:type="autofit"/>
        <w:tblCellMar>
          <w:top w:w="0" w:type="dxa"/>
          <w:left w:w="108" w:type="dxa"/>
          <w:bottom w:w="0" w:type="dxa"/>
          <w:right w:w="108" w:type="dxa"/>
        </w:tblCellMar>
      </w:tblPr>
      <w:tblGrid>
        <w:gridCol w:w="437"/>
        <w:gridCol w:w="656"/>
        <w:gridCol w:w="437"/>
        <w:gridCol w:w="766"/>
        <w:gridCol w:w="6284"/>
      </w:tblGrid>
      <w:tr w14:paraId="12109BF6">
        <w:tblPrEx>
          <w:tblCellMar>
            <w:top w:w="0" w:type="dxa"/>
            <w:left w:w="108" w:type="dxa"/>
            <w:bottom w:w="0" w:type="dxa"/>
            <w:right w:w="108" w:type="dxa"/>
          </w:tblCellMar>
        </w:tblPrEx>
        <w:trPr>
          <w:trHeight w:val="285"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F6B39">
            <w:pPr>
              <w:widowControl/>
              <w:spacing w:line="360" w:lineRule="auto"/>
              <w:jc w:val="center"/>
              <w:textAlignment w:val="center"/>
              <w:rPr>
                <w:rFonts w:ascii="宋体" w:hAnsi="宋体" w:cs="宋体"/>
                <w:b/>
                <w:bCs/>
                <w:color w:val="000000"/>
                <w:sz w:val="22"/>
              </w:rPr>
            </w:pPr>
            <w:r>
              <w:rPr>
                <w:rFonts w:ascii="宋体" w:hAnsi="宋体" w:cs="宋体"/>
                <w:b/>
                <w:bCs/>
                <w:color w:val="000000"/>
                <w:kern w:val="0"/>
                <w:sz w:val="22"/>
              </w:rPr>
              <w:t>序号</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CC53E">
            <w:pPr>
              <w:widowControl/>
              <w:spacing w:line="360" w:lineRule="auto"/>
              <w:jc w:val="center"/>
              <w:textAlignment w:val="center"/>
              <w:rPr>
                <w:rFonts w:ascii="宋体" w:hAnsi="宋体" w:cs="宋体"/>
                <w:b/>
                <w:bCs/>
                <w:color w:val="000000"/>
                <w:sz w:val="22"/>
              </w:rPr>
            </w:pPr>
            <w:r>
              <w:rPr>
                <w:rFonts w:ascii="宋体" w:hAnsi="宋体" w:cs="宋体"/>
                <w:b/>
                <w:bCs/>
                <w:color w:val="000000"/>
                <w:kern w:val="0"/>
                <w:sz w:val="22"/>
              </w:rPr>
              <w:t>设备类别</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FD43A">
            <w:pPr>
              <w:widowControl/>
              <w:spacing w:line="360" w:lineRule="auto"/>
              <w:jc w:val="center"/>
              <w:textAlignment w:val="center"/>
              <w:rPr>
                <w:rFonts w:ascii="宋体" w:hAnsi="宋体" w:cs="宋体"/>
                <w:b/>
                <w:bCs/>
                <w:color w:val="000000"/>
                <w:sz w:val="22"/>
              </w:rPr>
            </w:pPr>
            <w:r>
              <w:rPr>
                <w:rFonts w:ascii="宋体" w:hAnsi="宋体" w:cs="宋体"/>
                <w:b/>
                <w:bCs/>
                <w:color w:val="000000"/>
                <w:kern w:val="0"/>
                <w:sz w:val="22"/>
              </w:rPr>
              <w:t>单位</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8FE14">
            <w:pPr>
              <w:widowControl/>
              <w:spacing w:line="360" w:lineRule="auto"/>
              <w:jc w:val="center"/>
              <w:textAlignment w:val="center"/>
              <w:rPr>
                <w:rFonts w:ascii="宋体" w:hAnsi="宋体" w:cs="宋体"/>
                <w:b/>
                <w:bCs/>
                <w:color w:val="000000"/>
                <w:sz w:val="22"/>
              </w:rPr>
            </w:pPr>
            <w:r>
              <w:rPr>
                <w:rFonts w:ascii="宋体" w:hAnsi="宋体" w:cs="宋体"/>
                <w:b/>
                <w:bCs/>
                <w:color w:val="000000"/>
                <w:kern w:val="0"/>
                <w:sz w:val="22"/>
              </w:rPr>
              <w:t>数量（参考）</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6AC35">
            <w:pPr>
              <w:widowControl/>
              <w:spacing w:line="360" w:lineRule="auto"/>
              <w:jc w:val="center"/>
              <w:textAlignment w:val="center"/>
              <w:rPr>
                <w:rFonts w:ascii="宋体" w:hAnsi="宋体" w:cs="宋体"/>
                <w:b/>
                <w:bCs/>
                <w:color w:val="000000"/>
                <w:sz w:val="22"/>
              </w:rPr>
            </w:pPr>
            <w:r>
              <w:rPr>
                <w:rFonts w:ascii="宋体" w:hAnsi="宋体" w:cs="宋体"/>
                <w:b/>
                <w:bCs/>
                <w:color w:val="000000"/>
                <w:kern w:val="0"/>
                <w:sz w:val="22"/>
              </w:rPr>
              <w:t>技术规格</w:t>
            </w:r>
          </w:p>
        </w:tc>
      </w:tr>
      <w:tr w14:paraId="39145E9F">
        <w:tblPrEx>
          <w:tblCellMar>
            <w:top w:w="0" w:type="dxa"/>
            <w:left w:w="108" w:type="dxa"/>
            <w:bottom w:w="0" w:type="dxa"/>
            <w:right w:w="108" w:type="dxa"/>
          </w:tblCellMar>
        </w:tblPrEx>
        <w:trPr>
          <w:trHeight w:val="342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1AF66">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52111">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LED全彩显示屏</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ADD7A">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7629">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10.65（按项目现场）</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40CA0">
            <w:pPr>
              <w:widowControl/>
              <w:spacing w:line="360" w:lineRule="auto"/>
              <w:jc w:val="left"/>
              <w:textAlignment w:val="center"/>
              <w:rPr>
                <w:rStyle w:val="75"/>
                <w:rFonts w:ascii="宋体" w:hAnsi="宋体" w:cs="宋体"/>
              </w:rPr>
            </w:pPr>
            <w:r>
              <w:rPr>
                <w:rFonts w:ascii="宋体" w:hAnsi="宋体" w:cs="宋体"/>
                <w:color w:val="000000"/>
                <w:kern w:val="0"/>
                <w:sz w:val="22"/>
              </w:rPr>
              <w:t>净显示尺寸：</w:t>
            </w:r>
            <w:r>
              <w:rPr>
                <w:rStyle w:val="75"/>
                <w:rFonts w:hint="eastAsia" w:ascii="宋体" w:hAnsi="宋体" w:cs="宋体"/>
              </w:rPr>
              <w:t>5.12m*2.08m</w:t>
            </w:r>
            <w:r>
              <w:rPr>
                <w:rStyle w:val="76"/>
                <w:rFonts w:hint="default"/>
              </w:rPr>
              <w:t>；</w:t>
            </w:r>
          </w:p>
          <w:p w14:paraId="75FD9B00">
            <w:pPr>
              <w:widowControl/>
              <w:spacing w:line="360" w:lineRule="auto"/>
              <w:jc w:val="left"/>
              <w:textAlignment w:val="center"/>
              <w:rPr>
                <w:rStyle w:val="75"/>
                <w:rFonts w:ascii="宋体" w:hAnsi="宋体" w:cs="宋体"/>
              </w:rPr>
            </w:pPr>
            <w:r>
              <w:rPr>
                <w:rStyle w:val="76"/>
                <w:rFonts w:hint="default"/>
              </w:rPr>
              <w:t>★</w:t>
            </w:r>
            <w:r>
              <w:rPr>
                <w:rStyle w:val="75"/>
                <w:rFonts w:hint="eastAsia" w:ascii="宋体" w:hAnsi="宋体" w:cs="宋体"/>
              </w:rPr>
              <w:t>1</w:t>
            </w:r>
            <w:r>
              <w:rPr>
                <w:rStyle w:val="76"/>
                <w:rFonts w:hint="default"/>
              </w:rPr>
              <w:t>、像素点间距</w:t>
            </w:r>
            <w:r>
              <w:rPr>
                <w:rStyle w:val="75"/>
                <w:rFonts w:hint="eastAsia" w:ascii="宋体" w:hAnsi="宋体" w:cs="宋体"/>
              </w:rPr>
              <w:t xml:space="preserve">≤1.25mm </w:t>
            </w:r>
            <w:r>
              <w:rPr>
                <w:rStyle w:val="76"/>
                <w:rFonts w:hint="default"/>
              </w:rPr>
              <w:t>，像素密度点（点</w:t>
            </w:r>
            <w:r>
              <w:rPr>
                <w:rStyle w:val="75"/>
                <w:rFonts w:hint="eastAsia" w:ascii="宋体" w:hAnsi="宋体" w:cs="宋体"/>
              </w:rPr>
              <w:t>/</w:t>
            </w:r>
            <w:r>
              <w:rPr>
                <w:rStyle w:val="76"/>
                <w:rFonts w:hint="default"/>
              </w:rPr>
              <w:t>㎡）</w:t>
            </w:r>
            <w:r>
              <w:rPr>
                <w:rStyle w:val="75"/>
                <w:rFonts w:hint="eastAsia" w:ascii="宋体" w:hAnsi="宋体" w:cs="宋体"/>
              </w:rPr>
              <w:t>≥640000</w:t>
            </w:r>
            <w:r>
              <w:rPr>
                <w:rStyle w:val="76"/>
                <w:rFonts w:hint="default"/>
              </w:rPr>
              <w:t>；表贴三合一。</w:t>
            </w:r>
            <w:r>
              <w:rPr>
                <w:rFonts w:ascii="宋体" w:hAnsi="宋体" w:cs="宋体"/>
                <w:b/>
                <w:bCs/>
                <w:color w:val="000000"/>
                <w:kern w:val="0"/>
                <w:sz w:val="22"/>
              </w:rPr>
              <w:t>响应文件中需提供第三方机构出具的封面具有CMA标识的检测报告扫描件。</w:t>
            </w:r>
          </w:p>
          <w:p w14:paraId="24135791">
            <w:pPr>
              <w:widowControl/>
              <w:spacing w:line="360" w:lineRule="auto"/>
              <w:jc w:val="left"/>
              <w:textAlignment w:val="center"/>
              <w:rPr>
                <w:rStyle w:val="76"/>
                <w:rFonts w:hint="default"/>
              </w:rPr>
            </w:pPr>
            <w:r>
              <w:rPr>
                <w:rStyle w:val="75"/>
                <w:rFonts w:hint="eastAsia" w:ascii="宋体" w:hAnsi="宋体" w:cs="宋体"/>
              </w:rPr>
              <w:t>2</w:t>
            </w:r>
            <w:r>
              <w:rPr>
                <w:rStyle w:val="76"/>
                <w:rFonts w:hint="default"/>
              </w:rPr>
              <w:t>、白平衡亮度</w:t>
            </w:r>
            <w:r>
              <w:rPr>
                <w:rStyle w:val="75"/>
                <w:rFonts w:hint="eastAsia" w:ascii="宋体" w:hAnsi="宋体" w:cs="宋体"/>
              </w:rPr>
              <w:t>≥800nits</w:t>
            </w:r>
            <w:r>
              <w:rPr>
                <w:rStyle w:val="76"/>
                <w:rFonts w:hint="default"/>
              </w:rPr>
              <w:t>（</w:t>
            </w:r>
            <w:r>
              <w:rPr>
                <w:rStyle w:val="75"/>
                <w:rFonts w:hint="eastAsia" w:ascii="宋体" w:hAnsi="宋体" w:cs="宋体"/>
              </w:rPr>
              <w:t xml:space="preserve">0-100% </w:t>
            </w:r>
            <w:r>
              <w:rPr>
                <w:rStyle w:val="76"/>
                <w:rFonts w:hint="default"/>
              </w:rPr>
              <w:t>可调）；对比度</w:t>
            </w:r>
            <w:r>
              <w:rPr>
                <w:rStyle w:val="75"/>
                <w:rFonts w:hint="eastAsia" w:ascii="宋体" w:hAnsi="宋体" w:cs="宋体"/>
              </w:rPr>
              <w:t>≥</w:t>
            </w:r>
            <w:r>
              <w:rPr>
                <w:rStyle w:val="76"/>
                <w:rFonts w:hint="default"/>
              </w:rPr>
              <w:t>3</w:t>
            </w:r>
            <w:r>
              <w:rPr>
                <w:rStyle w:val="75"/>
                <w:rFonts w:hint="eastAsia" w:ascii="宋体" w:hAnsi="宋体" w:cs="宋体"/>
              </w:rPr>
              <w:t>000:1</w:t>
            </w:r>
            <w:r>
              <w:rPr>
                <w:rStyle w:val="76"/>
                <w:rFonts w:hint="default"/>
              </w:rPr>
              <w:t>；水平视角</w:t>
            </w:r>
            <w:r>
              <w:rPr>
                <w:rStyle w:val="75"/>
                <w:rFonts w:hint="eastAsia" w:ascii="宋体" w:hAnsi="宋体" w:cs="宋体"/>
              </w:rPr>
              <w:t>≥170°</w:t>
            </w:r>
            <w:r>
              <w:rPr>
                <w:rStyle w:val="76"/>
                <w:rFonts w:hint="default"/>
              </w:rPr>
              <w:t>，垂直视角</w:t>
            </w:r>
            <w:r>
              <w:rPr>
                <w:rStyle w:val="75"/>
                <w:rFonts w:hint="eastAsia" w:ascii="宋体" w:hAnsi="宋体" w:cs="宋体"/>
              </w:rPr>
              <w:t>≥170°</w:t>
            </w:r>
            <w:r>
              <w:rPr>
                <w:rStyle w:val="76"/>
                <w:rFonts w:hint="default"/>
              </w:rPr>
              <w:t>；</w:t>
            </w:r>
          </w:p>
          <w:p w14:paraId="07081270">
            <w:pPr>
              <w:widowControl/>
              <w:spacing w:line="360" w:lineRule="auto"/>
              <w:jc w:val="left"/>
              <w:textAlignment w:val="center"/>
              <w:rPr>
                <w:rStyle w:val="75"/>
                <w:rFonts w:ascii="宋体" w:hAnsi="宋体" w:cs="宋体"/>
              </w:rPr>
            </w:pPr>
            <w:r>
              <w:rPr>
                <w:rStyle w:val="75"/>
                <w:rFonts w:hint="eastAsia" w:ascii="宋体" w:hAnsi="宋体" w:cs="宋体"/>
              </w:rPr>
              <w:t>3</w:t>
            </w:r>
            <w:r>
              <w:rPr>
                <w:rStyle w:val="76"/>
                <w:rFonts w:hint="default"/>
              </w:rPr>
              <w:t>、换帧频率：</w:t>
            </w:r>
            <w:r>
              <w:rPr>
                <w:rStyle w:val="75"/>
                <w:rFonts w:hint="eastAsia" w:ascii="宋体" w:hAnsi="宋体" w:cs="宋体"/>
              </w:rPr>
              <w:t>50Hz&amp;60Hz</w:t>
            </w:r>
            <w:r>
              <w:rPr>
                <w:rStyle w:val="76"/>
                <w:rFonts w:hint="default"/>
              </w:rPr>
              <w:t>；刷新率</w:t>
            </w:r>
            <w:r>
              <w:rPr>
                <w:rStyle w:val="75"/>
                <w:rFonts w:hint="eastAsia" w:ascii="宋体" w:hAnsi="宋体" w:cs="宋体"/>
              </w:rPr>
              <w:t>≥3840Hz;</w:t>
            </w:r>
          </w:p>
          <w:p w14:paraId="02ADE5CF">
            <w:pPr>
              <w:widowControl/>
              <w:spacing w:line="360" w:lineRule="auto"/>
              <w:jc w:val="left"/>
              <w:textAlignment w:val="center"/>
              <w:rPr>
                <w:rStyle w:val="76"/>
                <w:rFonts w:hint="default"/>
              </w:rPr>
            </w:pPr>
            <w:r>
              <w:rPr>
                <w:rStyle w:val="75"/>
                <w:rFonts w:hint="eastAsia" w:ascii="宋体" w:hAnsi="宋体" w:cs="宋体"/>
              </w:rPr>
              <w:t>4</w:t>
            </w:r>
            <w:r>
              <w:rPr>
                <w:rStyle w:val="76"/>
                <w:rFonts w:hint="default"/>
              </w:rPr>
              <w:t>、峰值功耗</w:t>
            </w:r>
            <w:r>
              <w:rPr>
                <w:rStyle w:val="75"/>
                <w:rFonts w:hint="eastAsia" w:ascii="宋体" w:hAnsi="宋体" w:cs="宋体"/>
              </w:rPr>
              <w:t>≤490W/</w:t>
            </w:r>
            <w:r>
              <w:rPr>
                <w:rStyle w:val="76"/>
                <w:rFonts w:hint="default"/>
              </w:rPr>
              <w:t>㎡，平均功耗</w:t>
            </w:r>
            <w:r>
              <w:rPr>
                <w:rStyle w:val="75"/>
                <w:rFonts w:hint="eastAsia" w:ascii="宋体" w:hAnsi="宋体" w:cs="宋体"/>
              </w:rPr>
              <w:t>≤165W/</w:t>
            </w:r>
            <w:r>
              <w:rPr>
                <w:rStyle w:val="76"/>
                <w:rFonts w:hint="default"/>
              </w:rPr>
              <w:t>㎡；带有智能</w:t>
            </w:r>
            <w:r>
              <w:rPr>
                <w:rStyle w:val="75"/>
                <w:rFonts w:hint="eastAsia" w:ascii="宋体" w:hAnsi="宋体" w:cs="宋体"/>
              </w:rPr>
              <w:t>(</w:t>
            </w:r>
            <w:r>
              <w:rPr>
                <w:rStyle w:val="76"/>
                <w:rFonts w:hint="default"/>
              </w:rPr>
              <w:t>黑屏</w:t>
            </w:r>
            <w:r>
              <w:rPr>
                <w:rStyle w:val="75"/>
                <w:rFonts w:hint="eastAsia" w:ascii="宋体" w:hAnsi="宋体" w:cs="宋体"/>
              </w:rPr>
              <w:t>)</w:t>
            </w:r>
            <w:r>
              <w:rPr>
                <w:rStyle w:val="76"/>
                <w:rFonts w:hint="default"/>
              </w:rPr>
              <w:t>节电功能，开启智能节电功能比没有开启节能</w:t>
            </w:r>
            <w:r>
              <w:rPr>
                <w:rStyle w:val="75"/>
                <w:rFonts w:hint="eastAsia" w:ascii="宋体" w:hAnsi="宋体" w:cs="宋体"/>
              </w:rPr>
              <w:t>40%</w:t>
            </w:r>
            <w:r>
              <w:rPr>
                <w:rStyle w:val="76"/>
                <w:rFonts w:hint="default"/>
              </w:rPr>
              <w:t>以上；</w:t>
            </w:r>
          </w:p>
          <w:p w14:paraId="1CF295E4">
            <w:pPr>
              <w:widowControl/>
              <w:spacing w:line="360" w:lineRule="auto"/>
              <w:jc w:val="left"/>
              <w:textAlignment w:val="center"/>
              <w:rPr>
                <w:rStyle w:val="76"/>
                <w:rFonts w:hint="default"/>
              </w:rPr>
            </w:pPr>
            <w:r>
              <w:rPr>
                <w:rStyle w:val="75"/>
                <w:rFonts w:hint="eastAsia" w:ascii="宋体" w:hAnsi="宋体" w:cs="宋体"/>
              </w:rPr>
              <w:t>5</w:t>
            </w:r>
            <w:r>
              <w:rPr>
                <w:rStyle w:val="76"/>
                <w:rFonts w:hint="default"/>
              </w:rPr>
              <w:t>、亮度调整：具有随环境照度的变化而自动亮度调整的功能，支持手动、自动、程控（</w:t>
            </w:r>
            <w:r>
              <w:rPr>
                <w:rStyle w:val="75"/>
                <w:rFonts w:hint="eastAsia" w:ascii="宋体" w:hAnsi="宋体" w:cs="宋体"/>
              </w:rPr>
              <w:t xml:space="preserve">0~100% </w:t>
            </w:r>
            <w:r>
              <w:rPr>
                <w:rStyle w:val="76"/>
                <w:rFonts w:hint="default"/>
              </w:rPr>
              <w:t>可调）、支持无级调节；</w:t>
            </w:r>
          </w:p>
          <w:p w14:paraId="56BFD67B">
            <w:pPr>
              <w:widowControl/>
              <w:spacing w:line="360" w:lineRule="auto"/>
              <w:jc w:val="left"/>
              <w:textAlignment w:val="center"/>
              <w:rPr>
                <w:rStyle w:val="76"/>
                <w:rFonts w:hint="default"/>
              </w:rPr>
            </w:pPr>
            <w:r>
              <w:rPr>
                <w:rStyle w:val="75"/>
                <w:rFonts w:hint="eastAsia" w:ascii="宋体" w:hAnsi="宋体" w:cs="宋体"/>
              </w:rPr>
              <w:t>6</w:t>
            </w:r>
            <w:r>
              <w:rPr>
                <w:rStyle w:val="76"/>
                <w:rFonts w:hint="default"/>
              </w:rPr>
              <w:t>、单点亮度校正：支持单点、模块级亮度、色度校正功能，校正后亮度损失</w:t>
            </w:r>
            <w:r>
              <w:rPr>
                <w:rStyle w:val="75"/>
                <w:rFonts w:hint="eastAsia" w:ascii="宋体" w:hAnsi="宋体" w:cs="宋体"/>
              </w:rPr>
              <w:t>&lt; 5%</w:t>
            </w:r>
            <w:r>
              <w:rPr>
                <w:rStyle w:val="76"/>
                <w:rFonts w:hint="default"/>
              </w:rPr>
              <w:t>；模组支持自带校正数据存储器，更换模组自动导入校正数据；</w:t>
            </w:r>
          </w:p>
          <w:p w14:paraId="31928EF6">
            <w:pPr>
              <w:widowControl/>
              <w:spacing w:line="360" w:lineRule="auto"/>
              <w:jc w:val="left"/>
              <w:textAlignment w:val="center"/>
              <w:rPr>
                <w:rStyle w:val="76"/>
                <w:rFonts w:hint="default"/>
              </w:rPr>
            </w:pPr>
            <w:r>
              <w:rPr>
                <w:rStyle w:val="76"/>
                <w:rFonts w:hint="default"/>
                <w:b/>
                <w:bCs/>
              </w:rPr>
              <w:t>注：参考品牌：利亚德、洲明、海康（仅供档次参考，不作强制限定）。供应商可投上述品牌，也可投性能档次不低于上述参考品牌的其他产品，</w:t>
            </w:r>
            <w:r>
              <w:rPr>
                <w:rStyle w:val="76"/>
                <w:b/>
                <w:bCs/>
              </w:rPr>
              <w:t>供应商可自行提供性能对比佐证材料供评审小组评审参考</w:t>
            </w:r>
            <w:r>
              <w:rPr>
                <w:rStyle w:val="76"/>
                <w:rFonts w:hint="default"/>
                <w:b/>
                <w:bCs/>
              </w:rPr>
              <w:t>。</w:t>
            </w:r>
          </w:p>
        </w:tc>
      </w:tr>
      <w:tr w14:paraId="022349FA">
        <w:tblPrEx>
          <w:tblCellMar>
            <w:top w:w="0" w:type="dxa"/>
            <w:left w:w="108" w:type="dxa"/>
            <w:bottom w:w="0" w:type="dxa"/>
            <w:right w:w="108" w:type="dxa"/>
          </w:tblCellMar>
        </w:tblPrEx>
        <w:trPr>
          <w:trHeight w:val="448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2519">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2</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C1F5">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拼接处理器</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7F372">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台</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4633">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99A5">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1、设备支持多种类型接口的板卡接入,包括DVI、 HDMI、DP、VGA;信号支持4096x2160@60hz、3840x2160@30hz向下兼容其他分辨率。</w:t>
            </w:r>
          </w:p>
          <w:p w14:paraId="7D550802">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w:t>
            </w:r>
            <w:r>
              <w:rPr>
                <w:rFonts w:hint="eastAsia" w:ascii="宋体" w:hAnsi="宋体" w:cs="宋体"/>
                <w:color w:val="000000"/>
                <w:kern w:val="0"/>
                <w:sz w:val="22"/>
              </w:rPr>
              <w:t>2</w:t>
            </w:r>
            <w:r>
              <w:rPr>
                <w:rFonts w:ascii="宋体" w:hAnsi="宋体" w:cs="宋体"/>
                <w:color w:val="000000"/>
                <w:kern w:val="0"/>
                <w:sz w:val="22"/>
              </w:rPr>
              <w:t>、设备采用8档智控定速风扇设计，支持自动/手动两种模式设置，风扇转速可根据设备运行状态及当前环境温度进行智能调节。同时可在操作界面上进行运行状态的在线监测。</w:t>
            </w:r>
            <w:r>
              <w:rPr>
                <w:rFonts w:ascii="宋体" w:hAnsi="宋体" w:cs="宋体"/>
                <w:b/>
                <w:bCs/>
                <w:color w:val="000000"/>
                <w:kern w:val="0"/>
                <w:sz w:val="22"/>
              </w:rPr>
              <w:t>响应文件中需提供第三方机构出具的封面具有CMA标识的检测报告扫描件。</w:t>
            </w:r>
          </w:p>
          <w:p w14:paraId="69D5C542">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3</w:t>
            </w:r>
            <w:r>
              <w:rPr>
                <w:rFonts w:ascii="宋体" w:hAnsi="宋体" w:cs="宋体"/>
                <w:color w:val="000000"/>
                <w:kern w:val="0"/>
                <w:sz w:val="22"/>
              </w:rPr>
              <w:t>、设备运行状态实时监测，以图形化的方式展示一个虚拟的视频处理平台设备，与真实的设备结构和配置一致，通过该图形化的虚拟设备，即可直观的了解视频处理平台的实物状态，如机箱和槽位规模、业务板卡、功能模块的数量及接口类型。</w:t>
            </w:r>
          </w:p>
          <w:p w14:paraId="3B684FBB">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4</w:t>
            </w:r>
            <w:r>
              <w:rPr>
                <w:rFonts w:ascii="宋体" w:hAnsi="宋体" w:cs="宋体"/>
                <w:color w:val="000000"/>
                <w:kern w:val="0"/>
                <w:sz w:val="22"/>
              </w:rPr>
              <w:t>、输入输出延时低于30ms；支持60Hz图像处理不丢帧。</w:t>
            </w:r>
          </w:p>
          <w:p w14:paraId="1EB3111B">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w:t>
            </w:r>
            <w:r>
              <w:rPr>
                <w:rFonts w:hint="eastAsia" w:ascii="宋体" w:hAnsi="宋体" w:cs="宋体"/>
                <w:color w:val="000000"/>
                <w:kern w:val="0"/>
                <w:sz w:val="22"/>
              </w:rPr>
              <w:t>5</w:t>
            </w:r>
            <w:r>
              <w:rPr>
                <w:rFonts w:ascii="宋体" w:hAnsi="宋体" w:cs="宋体"/>
                <w:color w:val="000000"/>
                <w:kern w:val="0"/>
                <w:sz w:val="22"/>
              </w:rPr>
              <w:t>、多功能控制卡集合设备管控、可视化预监、大屏回显功能于一体，无需配置额外板卡，设备即可支持对所有输入信号画面、大屏实时画面、大屏场景布局的实时在线监看；</w:t>
            </w:r>
            <w:r>
              <w:rPr>
                <w:rFonts w:ascii="宋体" w:hAnsi="宋体" w:cs="宋体"/>
                <w:b/>
                <w:bCs/>
                <w:color w:val="000000"/>
                <w:kern w:val="0"/>
                <w:sz w:val="22"/>
              </w:rPr>
              <w:t>响应文件中需提供第三方机构出具的封面具有CMA标识的检测报告扫描件。</w:t>
            </w:r>
          </w:p>
          <w:p w14:paraId="7B18A807">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6</w:t>
            </w:r>
            <w:r>
              <w:rPr>
                <w:rFonts w:ascii="宋体" w:hAnsi="宋体" w:cs="宋体"/>
                <w:color w:val="000000"/>
                <w:kern w:val="0"/>
                <w:sz w:val="22"/>
              </w:rPr>
              <w:t>、设备支持TCP/IP网络控制，RS232/RS485/RS422串口控制及数据透传；开放控制协议。</w:t>
            </w:r>
          </w:p>
          <w:p w14:paraId="42803818">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7</w:t>
            </w:r>
            <w:r>
              <w:rPr>
                <w:rFonts w:ascii="宋体" w:hAnsi="宋体" w:cs="宋体"/>
                <w:color w:val="000000"/>
                <w:kern w:val="0"/>
                <w:sz w:val="22"/>
              </w:rPr>
              <w:t>、</w:t>
            </w:r>
            <w:r>
              <w:rPr>
                <w:rFonts w:hint="eastAsia" w:ascii="宋体" w:hAnsi="宋体" w:cs="宋体"/>
                <w:color w:val="000000"/>
                <w:kern w:val="0"/>
                <w:sz w:val="22"/>
              </w:rPr>
              <w:t>本次配置输入8路HDMI一张；输出8路HDMI一张。4台6网口发送卡。</w:t>
            </w:r>
          </w:p>
          <w:p w14:paraId="6C39C889">
            <w:pPr>
              <w:widowControl/>
              <w:spacing w:line="360" w:lineRule="auto"/>
              <w:jc w:val="left"/>
              <w:textAlignment w:val="center"/>
              <w:rPr>
                <w:rFonts w:ascii="宋体" w:hAnsi="宋体" w:cs="宋体"/>
                <w:color w:val="000000"/>
                <w:kern w:val="0"/>
                <w:sz w:val="22"/>
                <w:highlight w:val="yellow"/>
              </w:rPr>
            </w:pPr>
            <w:r>
              <w:rPr>
                <w:rFonts w:hint="eastAsia" w:ascii="宋体" w:hAnsi="宋体" w:cs="宋体"/>
                <w:color w:val="000000"/>
                <w:kern w:val="0"/>
                <w:sz w:val="22"/>
              </w:rPr>
              <w:t>8、供应商须保证 LED 显示屏、拼接处理器、播控软件整套系统完整兼容，完成联调，实现全部功能，因兼容性问题产生的改造、对接全部费用含在总报价内，发包人不另行付费。</w:t>
            </w:r>
          </w:p>
        </w:tc>
      </w:tr>
      <w:tr w14:paraId="763DB44D">
        <w:tblPrEx>
          <w:tblCellMar>
            <w:top w:w="0" w:type="dxa"/>
            <w:left w:w="108" w:type="dxa"/>
            <w:bottom w:w="0" w:type="dxa"/>
            <w:right w:w="108" w:type="dxa"/>
          </w:tblCellMar>
        </w:tblPrEx>
        <w:trPr>
          <w:trHeight w:val="29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3123">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3</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0B52">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播控软件/大屏控制系统</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7781E">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套</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9EC6F">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6456">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1、屏体配置：支持载入配置、设置输入源、点亮显示屏、显示屏连接设置、冗余备份设置、启用 3D 设置、工作模式设置、性能参数设置；提供具有显示播放日志管理系统功能类的证明材料扫描件</w:t>
            </w:r>
            <w:r>
              <w:rPr>
                <w:rFonts w:hint="eastAsia" w:ascii="宋体" w:hAnsi="宋体" w:cs="宋体"/>
                <w:color w:val="000000"/>
                <w:kern w:val="0"/>
                <w:sz w:val="22"/>
              </w:rPr>
              <w:t>；</w:t>
            </w:r>
          </w:p>
          <w:p w14:paraId="2350D6FC">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2、媒体播放器功能：可连接多媒体播放器，调试与媒体播放器连接的屏体参数；</w:t>
            </w:r>
          </w:p>
          <w:p w14:paraId="0CB854E4">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3、升级硬件程序：支持升级接收卡、发送卡的硬件程序，密码修改；</w:t>
            </w:r>
          </w:p>
          <w:p w14:paraId="22D93087">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4、多屏管理设置：支持添加多个显示屏，支持添加 100 个显示屏，分别对其进行控制管理；</w:t>
            </w:r>
          </w:p>
          <w:p w14:paraId="2554AB9C">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★5、点检功能：检测显示屏 LED 灯珠的工作状态软件显示点检状态，显示问题点位置；</w:t>
            </w:r>
            <w:r>
              <w:rPr>
                <w:rFonts w:hint="eastAsia" w:ascii="宋体" w:hAnsi="宋体" w:cs="宋体"/>
                <w:b/>
                <w:bCs/>
                <w:color w:val="000000"/>
                <w:kern w:val="0"/>
                <w:sz w:val="22"/>
              </w:rPr>
              <w:t>响应文件中</w:t>
            </w:r>
            <w:r>
              <w:rPr>
                <w:rFonts w:ascii="宋体" w:hAnsi="宋体" w:cs="宋体"/>
                <w:b/>
                <w:bCs/>
                <w:color w:val="000000"/>
                <w:kern w:val="0"/>
                <w:sz w:val="22"/>
              </w:rPr>
              <w:t>提供封面具有CMA标识的检测报告扫描件及提供具有LED显示屏坏点与失控点检测软件系统功能类的证明材料扫描件</w:t>
            </w:r>
            <w:r>
              <w:rPr>
                <w:rFonts w:hint="eastAsia" w:ascii="宋体" w:hAnsi="宋体" w:cs="宋体"/>
                <w:b/>
                <w:bCs/>
                <w:color w:val="000000"/>
                <w:kern w:val="0"/>
                <w:sz w:val="22"/>
              </w:rPr>
              <w:t>；</w:t>
            </w:r>
          </w:p>
          <w:p w14:paraId="67053B42">
            <w:pPr>
              <w:widowControl/>
              <w:numPr>
                <w:ilvl w:val="0"/>
                <w:numId w:val="2"/>
              </w:numPr>
              <w:spacing w:line="360" w:lineRule="auto"/>
              <w:jc w:val="left"/>
              <w:textAlignment w:val="center"/>
              <w:rPr>
                <w:rFonts w:ascii="宋体" w:hAnsi="宋体" w:cs="宋体"/>
                <w:color w:val="000000"/>
                <w:kern w:val="0"/>
                <w:sz w:val="22"/>
              </w:rPr>
            </w:pPr>
            <w:r>
              <w:rPr>
                <w:rFonts w:ascii="宋体" w:hAnsi="宋体" w:cs="宋体"/>
                <w:color w:val="000000"/>
                <w:kern w:val="0"/>
                <w:sz w:val="22"/>
              </w:rPr>
              <w:t>设置灯板ID：支持选中灯板并且给灯板设置ID；</w:t>
            </w:r>
          </w:p>
          <w:p w14:paraId="0E823E63">
            <w:pPr>
              <w:widowControl/>
              <w:numPr>
                <w:ilvl w:val="0"/>
                <w:numId w:val="2"/>
              </w:numPr>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供应商须保证 LED 显示屏、拼接处理器、播控软件整套系统完整兼容，完成联调，实现全部功能，因兼容性问题产生的改造、对接全部费用含在总报价内，发包人不另行付费。</w:t>
            </w:r>
          </w:p>
        </w:tc>
      </w:tr>
      <w:tr w14:paraId="0657E1AA">
        <w:tblPrEx>
          <w:tblCellMar>
            <w:top w:w="0" w:type="dxa"/>
            <w:left w:w="108" w:type="dxa"/>
            <w:bottom w:w="0" w:type="dxa"/>
            <w:right w:w="108" w:type="dxa"/>
          </w:tblCellMar>
        </w:tblPrEx>
        <w:trPr>
          <w:trHeight w:val="3371"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34005">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4</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07C6">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电路保护系统</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FE7F4">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套</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96684">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82F7">
            <w:pPr>
              <w:widowControl/>
              <w:spacing w:line="360" w:lineRule="auto"/>
              <w:jc w:val="left"/>
              <w:textAlignment w:val="center"/>
              <w:rPr>
                <w:rStyle w:val="76"/>
                <w:rFonts w:hint="default"/>
              </w:rPr>
            </w:pPr>
            <w:r>
              <w:rPr>
                <w:rStyle w:val="76"/>
                <w:rFonts w:hint="default"/>
              </w:rPr>
              <w:t>★</w:t>
            </w:r>
            <w:r>
              <w:rPr>
                <w:rStyle w:val="75"/>
                <w:rFonts w:hint="eastAsia" w:ascii="宋体" w:hAnsi="宋体" w:cs="宋体"/>
              </w:rPr>
              <w:t>1</w:t>
            </w:r>
            <w:r>
              <w:rPr>
                <w:rStyle w:val="76"/>
                <w:rFonts w:hint="default"/>
              </w:rPr>
              <w:t>、要求为软硬件一体机</w:t>
            </w:r>
            <w:r>
              <w:rPr>
                <w:rStyle w:val="75"/>
                <w:rFonts w:hint="eastAsia" w:ascii="宋体" w:hAnsi="宋体" w:cs="宋体"/>
              </w:rPr>
              <w:t>≤1.5U</w:t>
            </w:r>
            <w:r>
              <w:rPr>
                <w:rStyle w:val="76"/>
                <w:rFonts w:hint="default"/>
              </w:rPr>
              <w:t>，双电源，内置显示屏，通讯接口包含</w:t>
            </w:r>
            <w:r>
              <w:rPr>
                <w:rStyle w:val="75"/>
                <w:rFonts w:hint="eastAsia" w:ascii="宋体" w:hAnsi="宋体" w:cs="宋体"/>
              </w:rPr>
              <w:t>RJ45</w:t>
            </w:r>
            <w:r>
              <w:rPr>
                <w:rStyle w:val="76"/>
                <w:rFonts w:hint="default"/>
              </w:rPr>
              <w:t>、</w:t>
            </w:r>
            <w:r>
              <w:rPr>
                <w:rStyle w:val="75"/>
                <w:rFonts w:hint="eastAsia" w:ascii="宋体" w:hAnsi="宋体" w:cs="宋体"/>
              </w:rPr>
              <w:t>4G</w:t>
            </w:r>
            <w:r>
              <w:rPr>
                <w:rStyle w:val="76"/>
                <w:rFonts w:hint="default"/>
              </w:rPr>
              <w:t>、</w:t>
            </w:r>
            <w:r>
              <w:rPr>
                <w:rStyle w:val="75"/>
                <w:rFonts w:hint="eastAsia" w:ascii="宋体" w:hAnsi="宋体" w:cs="宋体"/>
              </w:rPr>
              <w:t>WIFI</w:t>
            </w:r>
            <w:r>
              <w:rPr>
                <w:rStyle w:val="76"/>
                <w:rFonts w:hint="default"/>
              </w:rPr>
              <w:t>，标配网络防雷接口</w:t>
            </w:r>
            <w:r>
              <w:rPr>
                <w:rStyle w:val="75"/>
                <w:rFonts w:hint="eastAsia" w:ascii="宋体" w:hAnsi="宋体" w:cs="宋体"/>
              </w:rPr>
              <w:t>≥6</w:t>
            </w:r>
            <w:r>
              <w:rPr>
                <w:rStyle w:val="76"/>
                <w:rFonts w:hint="default"/>
              </w:rPr>
              <w:t>路、接地通路接口</w:t>
            </w:r>
            <w:r>
              <w:rPr>
                <w:rStyle w:val="75"/>
                <w:rFonts w:hint="eastAsia" w:ascii="宋体" w:hAnsi="宋体" w:cs="宋体"/>
              </w:rPr>
              <w:t>≥2</w:t>
            </w:r>
            <w:r>
              <w:rPr>
                <w:rStyle w:val="76"/>
                <w:rFonts w:hint="default"/>
              </w:rPr>
              <w:t>路、漏电监测接口</w:t>
            </w:r>
            <w:r>
              <w:rPr>
                <w:rStyle w:val="75"/>
                <w:rFonts w:hint="eastAsia" w:ascii="宋体" w:hAnsi="宋体" w:cs="宋体"/>
              </w:rPr>
              <w:t>≥6</w:t>
            </w:r>
            <w:r>
              <w:rPr>
                <w:rStyle w:val="76"/>
                <w:rFonts w:hint="default"/>
              </w:rPr>
              <w:t>路、</w:t>
            </w:r>
            <w:r>
              <w:rPr>
                <w:rStyle w:val="75"/>
                <w:rFonts w:hint="eastAsia" w:ascii="宋体" w:hAnsi="宋体" w:cs="宋体"/>
              </w:rPr>
              <w:t>RS485</w:t>
            </w:r>
            <w:r>
              <w:rPr>
                <w:rStyle w:val="76"/>
                <w:rFonts w:hint="default"/>
              </w:rPr>
              <w:t>接口</w:t>
            </w:r>
            <w:r>
              <w:rPr>
                <w:rStyle w:val="75"/>
                <w:rFonts w:hint="eastAsia" w:ascii="宋体" w:hAnsi="宋体" w:cs="宋体"/>
              </w:rPr>
              <w:t>≥6</w:t>
            </w:r>
            <w:r>
              <w:rPr>
                <w:rStyle w:val="76"/>
                <w:rFonts w:hint="default"/>
              </w:rPr>
              <w:t>路、</w:t>
            </w:r>
            <w:r>
              <w:rPr>
                <w:rStyle w:val="75"/>
                <w:rFonts w:hint="eastAsia" w:ascii="宋体" w:hAnsi="宋体" w:cs="宋体"/>
              </w:rPr>
              <w:t>RS232</w:t>
            </w:r>
            <w:r>
              <w:rPr>
                <w:rStyle w:val="76"/>
                <w:rFonts w:hint="default"/>
              </w:rPr>
              <w:t>串口</w:t>
            </w:r>
            <w:r>
              <w:rPr>
                <w:rStyle w:val="75"/>
                <w:rFonts w:hint="eastAsia" w:ascii="宋体" w:hAnsi="宋体" w:cs="宋体"/>
              </w:rPr>
              <w:t>≥1</w:t>
            </w:r>
            <w:r>
              <w:rPr>
                <w:rStyle w:val="76"/>
                <w:rFonts w:hint="default"/>
              </w:rPr>
              <w:t>路、</w:t>
            </w:r>
            <w:r>
              <w:rPr>
                <w:rStyle w:val="75"/>
                <w:rFonts w:hint="eastAsia" w:ascii="宋体" w:hAnsi="宋体" w:cs="宋体"/>
              </w:rPr>
              <w:t>USB</w:t>
            </w:r>
            <w:r>
              <w:rPr>
                <w:rStyle w:val="76"/>
                <w:rFonts w:hint="default"/>
              </w:rPr>
              <w:t>接口</w:t>
            </w:r>
            <w:r>
              <w:rPr>
                <w:rStyle w:val="75"/>
                <w:rFonts w:hint="eastAsia" w:ascii="宋体" w:hAnsi="宋体" w:cs="宋体"/>
              </w:rPr>
              <w:t>≥2</w:t>
            </w:r>
            <w:r>
              <w:rPr>
                <w:rStyle w:val="76"/>
                <w:rFonts w:hint="default"/>
              </w:rPr>
              <w:t>路、</w:t>
            </w:r>
            <w:r>
              <w:rPr>
                <w:rStyle w:val="75"/>
                <w:rFonts w:hint="eastAsia" w:ascii="宋体" w:hAnsi="宋体" w:cs="宋体"/>
              </w:rPr>
              <w:t>HDMI</w:t>
            </w:r>
            <w:r>
              <w:rPr>
                <w:rStyle w:val="76"/>
                <w:rFonts w:hint="default"/>
              </w:rPr>
              <w:t>接口</w:t>
            </w:r>
            <w:r>
              <w:rPr>
                <w:rStyle w:val="75"/>
                <w:rFonts w:hint="eastAsia" w:ascii="宋体" w:hAnsi="宋体" w:cs="宋体"/>
              </w:rPr>
              <w:t>≥1</w:t>
            </w:r>
            <w:r>
              <w:rPr>
                <w:rStyle w:val="76"/>
                <w:rFonts w:hint="default"/>
              </w:rPr>
              <w:t>路、电源输出接口</w:t>
            </w:r>
            <w:r>
              <w:rPr>
                <w:rStyle w:val="75"/>
                <w:rFonts w:hint="eastAsia" w:ascii="宋体" w:hAnsi="宋体" w:cs="宋体"/>
              </w:rPr>
              <w:t>≥6</w:t>
            </w:r>
            <w:r>
              <w:rPr>
                <w:rStyle w:val="76"/>
                <w:rFonts w:hint="default"/>
              </w:rPr>
              <w:t>路五孔插座；</w:t>
            </w:r>
            <w:r>
              <w:rPr>
                <w:rStyle w:val="76"/>
                <w:rFonts w:hint="default"/>
                <w:b/>
                <w:bCs/>
              </w:rPr>
              <w:t>（响应文件中提供相关功能照片）</w:t>
            </w:r>
          </w:p>
          <w:p w14:paraId="1F266B60">
            <w:pPr>
              <w:widowControl/>
              <w:spacing w:line="360" w:lineRule="auto"/>
              <w:jc w:val="left"/>
              <w:textAlignment w:val="center"/>
              <w:rPr>
                <w:rStyle w:val="76"/>
                <w:rFonts w:hint="default"/>
              </w:rPr>
            </w:pPr>
            <w:r>
              <w:rPr>
                <w:rStyle w:val="75"/>
                <w:rFonts w:hint="eastAsia" w:ascii="宋体" w:hAnsi="宋体" w:cs="宋体"/>
              </w:rPr>
              <w:t>2</w:t>
            </w:r>
            <w:r>
              <w:rPr>
                <w:rStyle w:val="76"/>
                <w:rFonts w:hint="default"/>
              </w:rPr>
              <w:t>、具有电涌保护功能支持网络和电源系统防雷击防浪涌；</w:t>
            </w:r>
          </w:p>
          <w:p w14:paraId="2581E2F1">
            <w:pPr>
              <w:widowControl/>
              <w:spacing w:line="360" w:lineRule="auto"/>
              <w:jc w:val="left"/>
              <w:textAlignment w:val="center"/>
              <w:rPr>
                <w:rStyle w:val="76"/>
                <w:rFonts w:hint="default"/>
              </w:rPr>
            </w:pPr>
            <w:r>
              <w:rPr>
                <w:rStyle w:val="76"/>
                <w:rFonts w:hint="default"/>
              </w:rPr>
              <w:t>★</w:t>
            </w:r>
            <w:r>
              <w:rPr>
                <w:rStyle w:val="75"/>
                <w:rFonts w:hint="eastAsia" w:ascii="宋体" w:hAnsi="宋体" w:cs="宋体"/>
              </w:rPr>
              <w:t>3</w:t>
            </w:r>
            <w:r>
              <w:rPr>
                <w:rStyle w:val="76"/>
                <w:rFonts w:hint="default"/>
              </w:rPr>
              <w:t>、产品符合</w:t>
            </w:r>
            <w:r>
              <w:rPr>
                <w:rStyle w:val="75"/>
                <w:rFonts w:hint="eastAsia" w:ascii="宋体" w:hAnsi="宋体" w:cs="宋体"/>
              </w:rPr>
              <w:t>GB/T 18802.21-2016</w:t>
            </w:r>
            <w:r>
              <w:rPr>
                <w:rStyle w:val="76"/>
                <w:rFonts w:hint="default"/>
              </w:rPr>
              <w:t>《低压电涌保护器第</w:t>
            </w:r>
            <w:r>
              <w:rPr>
                <w:rStyle w:val="75"/>
                <w:rFonts w:hint="eastAsia" w:ascii="宋体" w:hAnsi="宋体" w:cs="宋体"/>
              </w:rPr>
              <w:t>21</w:t>
            </w:r>
            <w:r>
              <w:rPr>
                <w:rStyle w:val="76"/>
                <w:rFonts w:hint="default"/>
              </w:rPr>
              <w:t>部分</w:t>
            </w:r>
            <w:r>
              <w:rPr>
                <w:rStyle w:val="75"/>
                <w:rFonts w:hint="eastAsia" w:ascii="宋体" w:hAnsi="宋体" w:cs="宋体"/>
              </w:rPr>
              <w:t>:</w:t>
            </w:r>
            <w:r>
              <w:rPr>
                <w:rStyle w:val="76"/>
                <w:rFonts w:hint="default"/>
              </w:rPr>
              <w:t>电信和信号网络的电涌保护器</w:t>
            </w:r>
            <w:r>
              <w:rPr>
                <w:rStyle w:val="75"/>
                <w:rFonts w:hint="eastAsia" w:ascii="宋体" w:hAnsi="宋体" w:cs="宋体"/>
              </w:rPr>
              <w:t>(SPD)</w:t>
            </w:r>
            <w:r>
              <w:rPr>
                <w:rStyle w:val="76"/>
                <w:rFonts w:hint="default"/>
              </w:rPr>
              <w:t>性能要求和试验方法》：冲击耐受能力</w:t>
            </w:r>
            <w:r>
              <w:rPr>
                <w:rStyle w:val="75"/>
                <w:rFonts w:hint="eastAsia" w:ascii="宋体" w:hAnsi="宋体" w:cs="宋体"/>
              </w:rPr>
              <w:t>(1.2/50μs-8/20μs)≥10kV/5kA</w:t>
            </w:r>
            <w:r>
              <w:rPr>
                <w:rStyle w:val="76"/>
                <w:rFonts w:hint="default"/>
              </w:rPr>
              <w:t>；</w:t>
            </w:r>
            <w:r>
              <w:rPr>
                <w:rStyle w:val="76"/>
                <w:rFonts w:hint="default"/>
                <w:b/>
                <w:bCs/>
              </w:rPr>
              <w:t>（响应文件中提供第三方检测机构依据</w:t>
            </w:r>
            <w:r>
              <w:rPr>
                <w:rStyle w:val="75"/>
                <w:rFonts w:hint="eastAsia" w:ascii="宋体" w:hAnsi="宋体" w:cs="宋体"/>
                <w:b/>
                <w:bCs/>
              </w:rPr>
              <w:t>GB/T 18802.21-2016</w:t>
            </w:r>
            <w:r>
              <w:rPr>
                <w:rStyle w:val="76"/>
                <w:rFonts w:hint="default"/>
                <w:b/>
                <w:bCs/>
              </w:rPr>
              <w:t>标准出具的检测报告）</w:t>
            </w:r>
          </w:p>
          <w:p w14:paraId="0CC57ED5">
            <w:pPr>
              <w:widowControl/>
              <w:spacing w:line="360" w:lineRule="auto"/>
              <w:jc w:val="left"/>
              <w:textAlignment w:val="center"/>
              <w:rPr>
                <w:rStyle w:val="76"/>
                <w:rFonts w:hint="default"/>
              </w:rPr>
            </w:pPr>
            <w:r>
              <w:rPr>
                <w:rStyle w:val="75"/>
                <w:rFonts w:hint="eastAsia" w:ascii="宋体" w:hAnsi="宋体" w:cs="宋体"/>
              </w:rPr>
              <w:t>4</w:t>
            </w:r>
            <w:r>
              <w:rPr>
                <w:rStyle w:val="76"/>
                <w:rFonts w:hint="default"/>
              </w:rPr>
              <w:t>、产品符合</w:t>
            </w:r>
            <w:r>
              <w:rPr>
                <w:rStyle w:val="75"/>
                <w:rFonts w:hint="eastAsia" w:ascii="宋体" w:hAnsi="宋体" w:cs="宋体"/>
              </w:rPr>
              <w:t>GB/T 18802.11-2020</w:t>
            </w:r>
            <w:r>
              <w:rPr>
                <w:rStyle w:val="76"/>
                <w:rFonts w:hint="default"/>
              </w:rPr>
              <w:t>《低压电涌保护器</w:t>
            </w:r>
            <w:r>
              <w:rPr>
                <w:rStyle w:val="75"/>
                <w:rFonts w:hint="eastAsia" w:ascii="宋体" w:hAnsi="宋体" w:cs="宋体"/>
              </w:rPr>
              <w:t>(SPD)</w:t>
            </w:r>
            <w:r>
              <w:rPr>
                <w:rStyle w:val="76"/>
                <w:rFonts w:hint="default"/>
              </w:rPr>
              <w:t>第</w:t>
            </w:r>
            <w:r>
              <w:rPr>
                <w:rStyle w:val="75"/>
                <w:rFonts w:hint="eastAsia" w:ascii="宋体" w:hAnsi="宋体" w:cs="宋体"/>
              </w:rPr>
              <w:t>11</w:t>
            </w:r>
            <w:r>
              <w:rPr>
                <w:rStyle w:val="76"/>
                <w:rFonts w:hint="default"/>
              </w:rPr>
              <w:t>部分</w:t>
            </w:r>
            <w:r>
              <w:rPr>
                <w:rStyle w:val="75"/>
                <w:rFonts w:hint="eastAsia" w:ascii="宋体" w:hAnsi="宋体" w:cs="宋体"/>
              </w:rPr>
              <w:t>:</w:t>
            </w:r>
            <w:r>
              <w:rPr>
                <w:rStyle w:val="76"/>
                <w:rFonts w:hint="default"/>
              </w:rPr>
              <w:t>低压电源系统的电涌保护器性能要求和试验方法》：电压保护水平</w:t>
            </w:r>
            <w:r>
              <w:rPr>
                <w:rStyle w:val="75"/>
                <w:rFonts w:hint="eastAsia" w:ascii="宋体" w:hAnsi="宋体" w:cs="宋体"/>
              </w:rPr>
              <w:t>Up≤1.6kV</w:t>
            </w:r>
            <w:r>
              <w:rPr>
                <w:rStyle w:val="76"/>
                <w:rFonts w:hint="default"/>
              </w:rPr>
              <w:t>，标称放电电流</w:t>
            </w:r>
            <w:r>
              <w:rPr>
                <w:rStyle w:val="75"/>
                <w:rFonts w:hint="eastAsia" w:ascii="宋体" w:hAnsi="宋体" w:cs="宋体"/>
              </w:rPr>
              <w:t>In(8/20μs)≥20kA</w:t>
            </w:r>
            <w:r>
              <w:rPr>
                <w:rStyle w:val="76"/>
                <w:rFonts w:hint="default"/>
              </w:rPr>
              <w:t>，最大放电电流</w:t>
            </w:r>
            <w:r>
              <w:rPr>
                <w:rStyle w:val="75"/>
                <w:rFonts w:hint="eastAsia" w:ascii="宋体" w:hAnsi="宋体" w:cs="宋体"/>
              </w:rPr>
              <w:t>Imax(8/20μs)≥40kA</w:t>
            </w:r>
            <w:r>
              <w:rPr>
                <w:rStyle w:val="76"/>
                <w:rFonts w:hint="default"/>
              </w:rPr>
              <w:t>；</w:t>
            </w:r>
          </w:p>
          <w:p w14:paraId="79937177">
            <w:pPr>
              <w:widowControl/>
              <w:spacing w:line="360" w:lineRule="auto"/>
              <w:jc w:val="left"/>
              <w:textAlignment w:val="center"/>
              <w:rPr>
                <w:rStyle w:val="76"/>
                <w:rFonts w:hint="default"/>
              </w:rPr>
            </w:pPr>
            <w:r>
              <w:rPr>
                <w:rStyle w:val="75"/>
                <w:rFonts w:hint="eastAsia" w:ascii="宋体" w:hAnsi="宋体" w:cs="宋体"/>
              </w:rPr>
              <w:t>5</w:t>
            </w:r>
            <w:r>
              <w:rPr>
                <w:rStyle w:val="76"/>
                <w:rFonts w:hint="default"/>
              </w:rPr>
              <w:t>、内置触控显示屏</w:t>
            </w:r>
            <w:r>
              <w:rPr>
                <w:rStyle w:val="75"/>
                <w:rFonts w:hint="eastAsia" w:ascii="宋体" w:hAnsi="宋体" w:cs="宋体"/>
              </w:rPr>
              <w:t>≥2.8</w:t>
            </w:r>
            <w:r>
              <w:rPr>
                <w:rStyle w:val="76"/>
                <w:rFonts w:hint="default"/>
              </w:rPr>
              <w:t>英寸，可显示监测状态、设备信息和告警信息等，屏显内容包含：告警信息、防雷器状态、防雷器温度、防雷器寿命、雷击浪涌次数、接地通断、漏电流、温度、湿度、烟雾、水浸、安装单位、联系人、联系电话；</w:t>
            </w:r>
          </w:p>
          <w:p w14:paraId="1D2B116C">
            <w:pPr>
              <w:widowControl/>
              <w:spacing w:line="360" w:lineRule="auto"/>
              <w:jc w:val="left"/>
              <w:textAlignment w:val="center"/>
              <w:rPr>
                <w:rStyle w:val="76"/>
                <w:rFonts w:hint="default"/>
              </w:rPr>
            </w:pPr>
            <w:r>
              <w:rPr>
                <w:rStyle w:val="75"/>
                <w:rFonts w:hint="eastAsia" w:ascii="宋体" w:hAnsi="宋体" w:cs="宋体"/>
              </w:rPr>
              <w:t>6</w:t>
            </w:r>
            <w:r>
              <w:rPr>
                <w:rStyle w:val="76"/>
                <w:rFonts w:hint="default"/>
              </w:rPr>
              <w:t>、支持监测指标实时查询、数据分析、视频监控、设备管理、告警阈值管理、触发器管理、工单管理、多级用户权限管理；</w:t>
            </w:r>
          </w:p>
          <w:p w14:paraId="789DCFA7">
            <w:pPr>
              <w:widowControl/>
              <w:spacing w:line="360" w:lineRule="auto"/>
              <w:jc w:val="left"/>
              <w:textAlignment w:val="center"/>
              <w:rPr>
                <w:rFonts w:ascii="宋体" w:hAnsi="宋体" w:cs="宋体"/>
                <w:color w:val="000000"/>
                <w:sz w:val="22"/>
              </w:rPr>
            </w:pPr>
            <w:r>
              <w:rPr>
                <w:rStyle w:val="75"/>
                <w:rFonts w:hint="eastAsia" w:ascii="宋体" w:hAnsi="宋体" w:cs="宋体"/>
              </w:rPr>
              <w:t>7</w:t>
            </w:r>
            <w:r>
              <w:rPr>
                <w:rStyle w:val="76"/>
                <w:rFonts w:hint="default"/>
              </w:rPr>
              <w:t>、</w:t>
            </w:r>
            <w:r>
              <w:rPr>
                <w:rStyle w:val="76"/>
              </w:rPr>
              <w:t>供应商</w:t>
            </w:r>
            <w:r>
              <w:rPr>
                <w:rStyle w:val="76"/>
                <w:rFonts w:hint="default"/>
              </w:rPr>
              <w:t>承诺</w:t>
            </w:r>
            <w:r>
              <w:rPr>
                <w:rStyle w:val="76"/>
              </w:rPr>
              <w:t>供货前提供产品样品进行核验；成交供应商供货时所供产品须与响应文件、样品保持一致，供货验收时如产品参数、配置与响应文件不一致，按合同违约条款处理。</w:t>
            </w:r>
          </w:p>
        </w:tc>
      </w:tr>
      <w:tr w14:paraId="1BE890BB">
        <w:tblPrEx>
          <w:tblCellMar>
            <w:top w:w="0" w:type="dxa"/>
            <w:left w:w="108" w:type="dxa"/>
            <w:bottom w:w="0" w:type="dxa"/>
            <w:right w:w="108" w:type="dxa"/>
          </w:tblCellMar>
        </w:tblPrEx>
        <w:trPr>
          <w:trHeight w:val="178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F0CDF">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5</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4876">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配电柜/智能配电箱</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20572">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台</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CE90">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91E3B">
            <w:pPr>
              <w:widowControl/>
              <w:spacing w:line="360" w:lineRule="auto"/>
              <w:jc w:val="left"/>
              <w:textAlignment w:val="center"/>
              <w:rPr>
                <w:rStyle w:val="76"/>
                <w:rFonts w:hint="default"/>
              </w:rPr>
            </w:pPr>
            <w:r>
              <w:rPr>
                <w:rStyle w:val="75"/>
                <w:rFonts w:hint="eastAsia" w:ascii="宋体" w:hAnsi="宋体" w:cs="宋体"/>
              </w:rPr>
              <w:t>1.</w:t>
            </w:r>
            <w:r>
              <w:rPr>
                <w:rStyle w:val="76"/>
                <w:rFonts w:hint="default"/>
              </w:rPr>
              <w:t>规格</w:t>
            </w:r>
            <w:r>
              <w:rPr>
                <w:rStyle w:val="75"/>
                <w:rFonts w:hint="eastAsia" w:ascii="宋体" w:hAnsi="宋体" w:cs="宋体"/>
              </w:rPr>
              <w:t>:10KW</w:t>
            </w:r>
            <w:r>
              <w:rPr>
                <w:rStyle w:val="76"/>
                <w:rFonts w:hint="default"/>
              </w:rPr>
              <w:t>；含</w:t>
            </w:r>
            <w:r>
              <w:rPr>
                <w:rStyle w:val="75"/>
                <w:rFonts w:hint="eastAsia" w:ascii="宋体" w:hAnsi="宋体" w:cs="宋体"/>
              </w:rPr>
              <w:t xml:space="preserve"> PLC </w:t>
            </w:r>
            <w:r>
              <w:rPr>
                <w:rStyle w:val="76"/>
                <w:rFonts w:hint="default"/>
              </w:rPr>
              <w:t>控制系统；</w:t>
            </w:r>
          </w:p>
          <w:p w14:paraId="6D4F9725">
            <w:pPr>
              <w:widowControl/>
              <w:spacing w:line="360" w:lineRule="auto"/>
              <w:jc w:val="left"/>
              <w:textAlignment w:val="center"/>
              <w:rPr>
                <w:rStyle w:val="76"/>
                <w:rFonts w:hint="default"/>
              </w:rPr>
            </w:pPr>
            <w:r>
              <w:rPr>
                <w:rStyle w:val="75"/>
                <w:rFonts w:hint="eastAsia" w:ascii="宋体" w:hAnsi="宋体" w:cs="宋体"/>
              </w:rPr>
              <w:t>2.</w:t>
            </w:r>
            <w:r>
              <w:rPr>
                <w:rStyle w:val="76"/>
                <w:rFonts w:hint="default"/>
              </w:rPr>
              <w:t>采用三相五线制即</w:t>
            </w:r>
            <w:r>
              <w:rPr>
                <w:rStyle w:val="75"/>
                <w:rFonts w:hint="eastAsia" w:ascii="宋体" w:hAnsi="宋体" w:cs="宋体"/>
              </w:rPr>
              <w:t xml:space="preserve"> TN-S </w:t>
            </w:r>
            <w:r>
              <w:rPr>
                <w:rStyle w:val="76"/>
                <w:rFonts w:hint="default"/>
              </w:rPr>
              <w:t>供电方式，配电柜输入电压为交流</w:t>
            </w:r>
            <w:r>
              <w:rPr>
                <w:rStyle w:val="75"/>
                <w:rFonts w:hint="eastAsia" w:ascii="宋体" w:hAnsi="宋体" w:cs="宋体"/>
              </w:rPr>
              <w:t xml:space="preserve"> 380V±10%</w:t>
            </w:r>
            <w:r>
              <w:rPr>
                <w:rStyle w:val="76"/>
                <w:rFonts w:hint="default"/>
              </w:rPr>
              <w:t>，工频</w:t>
            </w:r>
            <w:r>
              <w:rPr>
                <w:rStyle w:val="75"/>
                <w:rFonts w:hint="eastAsia" w:ascii="宋体" w:hAnsi="宋体" w:cs="宋体"/>
              </w:rPr>
              <w:t xml:space="preserve"> 50HZ</w:t>
            </w:r>
            <w:r>
              <w:rPr>
                <w:rStyle w:val="76"/>
                <w:rFonts w:hint="default"/>
              </w:rPr>
              <w:t>；</w:t>
            </w:r>
          </w:p>
          <w:p w14:paraId="4DB4F003">
            <w:pPr>
              <w:widowControl/>
              <w:spacing w:line="360" w:lineRule="auto"/>
              <w:jc w:val="left"/>
              <w:textAlignment w:val="center"/>
              <w:rPr>
                <w:rStyle w:val="76"/>
                <w:rFonts w:hint="default"/>
              </w:rPr>
            </w:pPr>
            <w:r>
              <w:rPr>
                <w:rStyle w:val="75"/>
                <w:rFonts w:hint="eastAsia" w:ascii="宋体" w:hAnsi="宋体" w:cs="宋体"/>
              </w:rPr>
              <w:t>3.</w:t>
            </w:r>
            <w:r>
              <w:rPr>
                <w:rStyle w:val="76"/>
                <w:rFonts w:hint="default"/>
              </w:rPr>
              <w:t>配电柜材质为冷轧钢板，外表喷塑，具备防水、防锈、防腐能力。</w:t>
            </w:r>
          </w:p>
          <w:p w14:paraId="6C247C92">
            <w:pPr>
              <w:widowControl/>
              <w:spacing w:line="360" w:lineRule="auto"/>
              <w:jc w:val="left"/>
              <w:textAlignment w:val="center"/>
              <w:rPr>
                <w:rFonts w:ascii="宋体" w:hAnsi="宋体" w:cs="宋体"/>
                <w:color w:val="000000"/>
                <w:sz w:val="22"/>
              </w:rPr>
            </w:pPr>
            <w:r>
              <w:rPr>
                <w:rStyle w:val="75"/>
                <w:rFonts w:hint="eastAsia" w:ascii="宋体" w:hAnsi="宋体" w:cs="宋体"/>
              </w:rPr>
              <w:t>4.</w:t>
            </w:r>
            <w:r>
              <w:rPr>
                <w:rStyle w:val="76"/>
                <w:rFonts w:hint="default"/>
              </w:rPr>
              <w:t>安装方式</w:t>
            </w:r>
            <w:r>
              <w:rPr>
                <w:rStyle w:val="75"/>
                <w:rFonts w:hint="eastAsia" w:ascii="宋体" w:hAnsi="宋体" w:cs="宋体"/>
              </w:rPr>
              <w:t>:</w:t>
            </w:r>
            <w:r>
              <w:rPr>
                <w:rStyle w:val="76"/>
                <w:rFonts w:hint="default"/>
              </w:rPr>
              <w:t>壁挂明装</w:t>
            </w:r>
          </w:p>
        </w:tc>
      </w:tr>
      <w:tr w14:paraId="798CBEF6">
        <w:tblPrEx>
          <w:tblCellMar>
            <w:top w:w="0" w:type="dxa"/>
            <w:left w:w="108" w:type="dxa"/>
            <w:bottom w:w="0" w:type="dxa"/>
            <w:right w:w="108" w:type="dxa"/>
          </w:tblCellMar>
        </w:tblPrEx>
        <w:trPr>
          <w:trHeight w:val="162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039D4">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6</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87827">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接收卡</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B4D4">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套</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C2411">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9068">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1、单个接收卡自带8个标准HUB320接口。单卡最大带载分辨率512*512@60Hz。</w:t>
            </w:r>
          </w:p>
          <w:p w14:paraId="0851BFE4">
            <w:pPr>
              <w:widowControl/>
              <w:spacing w:line="360" w:lineRule="auto"/>
              <w:jc w:val="left"/>
              <w:textAlignment w:val="center"/>
              <w:rPr>
                <w:rFonts w:ascii="宋体" w:hAnsi="宋体" w:cs="宋体"/>
                <w:color w:val="000000"/>
                <w:sz w:val="22"/>
              </w:rPr>
            </w:pPr>
            <w:r>
              <w:rPr>
                <w:rFonts w:ascii="宋体" w:hAnsi="宋体" w:cs="宋体"/>
                <w:color w:val="000000"/>
                <w:kern w:val="0"/>
                <w:sz w:val="22"/>
              </w:rPr>
              <w:t>2、配合多功能卡，通过亮度传感器检测外部环境亮度，实现自动调整屏幕亮度，环保又节能，为客户节省用电成本。</w:t>
            </w:r>
          </w:p>
        </w:tc>
      </w:tr>
      <w:tr w14:paraId="53A0DB4E">
        <w:tblPrEx>
          <w:tblCellMar>
            <w:top w:w="0" w:type="dxa"/>
            <w:left w:w="108" w:type="dxa"/>
            <w:bottom w:w="0" w:type="dxa"/>
            <w:right w:w="108" w:type="dxa"/>
          </w:tblCellMar>
        </w:tblPrEx>
        <w:trPr>
          <w:trHeight w:val="122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193C">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7</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48C6">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开关电源/接收卡电源</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F56E8">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个/套</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7F68">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40</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1F1F">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1、输入电压范围： 200～240VAC，额定输出电压：4.5-5VDC，纹波和噪声：≤200mVp-p；</w:t>
            </w:r>
          </w:p>
          <w:p w14:paraId="709A9233">
            <w:pPr>
              <w:widowControl/>
              <w:spacing w:line="360" w:lineRule="auto"/>
              <w:jc w:val="left"/>
              <w:textAlignment w:val="center"/>
              <w:rPr>
                <w:rFonts w:ascii="宋体" w:hAnsi="宋体" w:cs="宋体"/>
                <w:color w:val="000000"/>
                <w:sz w:val="22"/>
              </w:rPr>
            </w:pPr>
            <w:r>
              <w:rPr>
                <w:rFonts w:ascii="宋体" w:hAnsi="宋体" w:cs="宋体"/>
                <w:color w:val="000000"/>
                <w:kern w:val="0"/>
                <w:sz w:val="22"/>
              </w:rPr>
              <w:t>2、过载保护：额定负载的110~150%范围内电源保护，</w:t>
            </w:r>
            <w:r>
              <w:rPr>
                <w:rFonts w:hint="eastAsia" w:ascii="宋体" w:hAnsi="宋体" w:cs="宋体"/>
                <w:color w:val="000000"/>
                <w:kern w:val="0"/>
                <w:sz w:val="22"/>
              </w:rPr>
              <w:t>卸载恢复正常输出</w:t>
            </w:r>
            <w:r>
              <w:rPr>
                <w:rFonts w:ascii="宋体" w:hAnsi="宋体" w:cs="宋体"/>
                <w:color w:val="000000"/>
                <w:kern w:val="0"/>
                <w:sz w:val="22"/>
              </w:rPr>
              <w:t>；</w:t>
            </w:r>
          </w:p>
        </w:tc>
      </w:tr>
      <w:tr w14:paraId="0BA77DA1">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D431">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8</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60880">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配套钢结构及包边</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2994">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1C0C5">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按项目</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E45D">
            <w:pPr>
              <w:widowControl/>
              <w:spacing w:line="360" w:lineRule="auto"/>
              <w:jc w:val="left"/>
              <w:textAlignment w:val="center"/>
              <w:rPr>
                <w:rFonts w:ascii="宋体" w:hAnsi="宋体" w:cs="宋体"/>
                <w:color w:val="000000"/>
                <w:sz w:val="22"/>
              </w:rPr>
            </w:pPr>
            <w:r>
              <w:rPr>
                <w:rFonts w:ascii="宋体" w:hAnsi="宋体" w:cs="宋体"/>
                <w:color w:val="000000"/>
                <w:kern w:val="0"/>
                <w:sz w:val="22"/>
              </w:rPr>
              <w:t>显示屏配套钢结构，国产国标定制；结构承重符合力学要求，配包边及走线槽。</w:t>
            </w:r>
          </w:p>
        </w:tc>
      </w:tr>
      <w:tr w14:paraId="62C36A4F">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97E0E">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9</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0AC8">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综合布线及辅材</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1EEC">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项</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A00E">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2AD1D">
            <w:pPr>
              <w:widowControl/>
              <w:spacing w:line="360" w:lineRule="auto"/>
              <w:jc w:val="left"/>
              <w:textAlignment w:val="center"/>
              <w:rPr>
                <w:rFonts w:ascii="宋体" w:hAnsi="宋体" w:cs="宋体"/>
                <w:color w:val="000000"/>
                <w:sz w:val="22"/>
              </w:rPr>
            </w:pPr>
            <w:r>
              <w:rPr>
                <w:rFonts w:ascii="宋体" w:hAnsi="宋体" w:cs="宋体"/>
                <w:color w:val="000000"/>
                <w:kern w:val="0"/>
                <w:sz w:val="22"/>
              </w:rPr>
              <w:t>国标电源线、网线（超五类Cat5e 24AWG无氧铜，符合ISO/IEC11801、TIA-568-C.2、GB/T18015.5）、辅材等。</w:t>
            </w:r>
          </w:p>
        </w:tc>
      </w:tr>
      <w:tr w14:paraId="6F936C8C">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21926">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10</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9FBE9">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安装调试服务</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95835">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项</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080D">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37530">
            <w:pPr>
              <w:widowControl/>
              <w:spacing w:line="360" w:lineRule="auto"/>
              <w:jc w:val="left"/>
              <w:textAlignment w:val="center"/>
              <w:rPr>
                <w:rFonts w:ascii="宋体" w:hAnsi="宋体" w:cs="宋体"/>
                <w:color w:val="000000"/>
                <w:sz w:val="22"/>
              </w:rPr>
            </w:pPr>
            <w:r>
              <w:rPr>
                <w:rFonts w:ascii="宋体" w:hAnsi="宋体" w:cs="宋体"/>
                <w:color w:val="000000"/>
                <w:kern w:val="0"/>
                <w:sz w:val="22"/>
              </w:rPr>
              <w:t>设备安装、运行调试、使用培训；含原屏体拆除及底座恢复。</w:t>
            </w:r>
          </w:p>
        </w:tc>
      </w:tr>
      <w:tr w14:paraId="5703B3FC">
        <w:tblPrEx>
          <w:tblCellMar>
            <w:top w:w="0" w:type="dxa"/>
            <w:left w:w="108" w:type="dxa"/>
            <w:bottom w:w="0" w:type="dxa"/>
            <w:right w:w="108" w:type="dxa"/>
          </w:tblCellMar>
        </w:tblPrEx>
        <w:trPr>
          <w:trHeight w:val="81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B939F">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11</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67C6A">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显示屏模块（备件）</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A4CBB">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块</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EFCE5">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10</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CF6E">
            <w:pPr>
              <w:widowControl/>
              <w:spacing w:line="360" w:lineRule="auto"/>
              <w:jc w:val="left"/>
              <w:textAlignment w:val="center"/>
              <w:rPr>
                <w:rFonts w:ascii="宋体" w:hAnsi="宋体" w:cs="宋体"/>
                <w:color w:val="000000"/>
                <w:sz w:val="22"/>
              </w:rPr>
            </w:pPr>
            <w:r>
              <w:rPr>
                <w:rFonts w:ascii="宋体" w:hAnsi="宋体" w:cs="宋体"/>
                <w:color w:val="000000"/>
                <w:kern w:val="0"/>
                <w:sz w:val="22"/>
              </w:rPr>
              <w:t>320mm×160mm模组，与主屏同型号配套兼容。</w:t>
            </w:r>
          </w:p>
        </w:tc>
      </w:tr>
      <w:tr w14:paraId="1A0E95BE">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2ADB6">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12</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7367">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原大屏拆除</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3D226">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1448F">
            <w:pPr>
              <w:widowControl/>
              <w:spacing w:line="360" w:lineRule="auto"/>
              <w:jc w:val="center"/>
              <w:textAlignment w:val="center"/>
              <w:rPr>
                <w:rFonts w:ascii="宋体" w:hAnsi="宋体" w:cs="宋体"/>
                <w:color w:val="000000"/>
                <w:sz w:val="22"/>
              </w:rPr>
            </w:pPr>
            <w:r>
              <w:rPr>
                <w:rFonts w:ascii="宋体" w:hAnsi="宋体" w:cs="宋体"/>
                <w:color w:val="000000"/>
                <w:kern w:val="0"/>
                <w:sz w:val="22"/>
              </w:rPr>
              <w:t>按项目</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B4C9">
            <w:pPr>
              <w:widowControl/>
              <w:spacing w:line="360" w:lineRule="auto"/>
              <w:jc w:val="left"/>
              <w:textAlignment w:val="center"/>
              <w:rPr>
                <w:rFonts w:ascii="宋体" w:hAnsi="宋体" w:cs="宋体"/>
                <w:color w:val="000000"/>
                <w:sz w:val="22"/>
              </w:rPr>
            </w:pPr>
            <w:r>
              <w:rPr>
                <w:rFonts w:ascii="宋体" w:hAnsi="宋体" w:cs="宋体"/>
                <w:color w:val="000000"/>
                <w:kern w:val="0"/>
                <w:sz w:val="22"/>
              </w:rPr>
              <w:t>原大屏拆除、底座恢复。</w:t>
            </w:r>
          </w:p>
        </w:tc>
      </w:tr>
      <w:tr w14:paraId="5A2619F7">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121EF">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13</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984E">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控制器</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7D519">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台</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71757">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2</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420C">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处理器:≥12核 20线程，最大睿频≥4.6GHz，三级缓存≥24MB，台式机桌面处理器</w:t>
            </w:r>
            <w:r>
              <w:rPr>
                <w:rFonts w:ascii="宋体" w:hAnsi="宋体" w:cs="宋体"/>
                <w:color w:val="000000"/>
                <w:kern w:val="0"/>
                <w:sz w:val="22"/>
              </w:rPr>
              <w:t>；</w:t>
            </w:r>
          </w:p>
          <w:p w14:paraId="704CBA97">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内存：</w:t>
            </w:r>
            <w:r>
              <w:rPr>
                <w:rFonts w:ascii="宋体" w:hAnsi="宋体" w:cs="宋体"/>
                <w:color w:val="000000"/>
                <w:kern w:val="0"/>
                <w:sz w:val="22"/>
              </w:rPr>
              <w:t>16G</w:t>
            </w:r>
          </w:p>
          <w:p w14:paraId="11819397">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硬盘：</w:t>
            </w:r>
            <w:r>
              <w:rPr>
                <w:rFonts w:ascii="宋体" w:hAnsi="宋体" w:cs="宋体"/>
                <w:color w:val="000000"/>
                <w:kern w:val="0"/>
                <w:sz w:val="22"/>
              </w:rPr>
              <w:t>1T</w:t>
            </w:r>
            <w:r>
              <w:rPr>
                <w:rFonts w:hint="eastAsia" w:ascii="宋体" w:hAnsi="宋体" w:cs="宋体"/>
                <w:color w:val="000000"/>
                <w:kern w:val="0"/>
                <w:sz w:val="22"/>
              </w:rPr>
              <w:t xml:space="preserve"> SSD</w:t>
            </w:r>
            <w:r>
              <w:rPr>
                <w:rFonts w:ascii="宋体" w:hAnsi="宋体" w:cs="宋体"/>
                <w:color w:val="000000"/>
                <w:kern w:val="0"/>
                <w:sz w:val="22"/>
              </w:rPr>
              <w:t>；</w:t>
            </w:r>
          </w:p>
          <w:p w14:paraId="604CE573">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显示器：</w:t>
            </w:r>
            <w:r>
              <w:rPr>
                <w:rFonts w:ascii="宋体" w:hAnsi="宋体" w:cs="宋体"/>
                <w:color w:val="000000"/>
                <w:kern w:val="0"/>
                <w:sz w:val="22"/>
              </w:rPr>
              <w:t>23.8寸</w:t>
            </w:r>
            <w:r>
              <w:rPr>
                <w:rFonts w:hint="eastAsia" w:ascii="宋体" w:hAnsi="宋体" w:cs="宋体"/>
                <w:color w:val="000000"/>
                <w:kern w:val="0"/>
                <w:sz w:val="22"/>
              </w:rPr>
              <w:t xml:space="preserve"> 60Hz HDMI 接口；</w:t>
            </w:r>
          </w:p>
          <w:p w14:paraId="20A878B4">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标配独立显卡，</w:t>
            </w:r>
            <w:r>
              <w:rPr>
                <w:rFonts w:ascii="宋体" w:hAnsi="宋体" w:cs="宋体"/>
                <w:color w:val="000000"/>
                <w:kern w:val="0"/>
                <w:sz w:val="22"/>
              </w:rPr>
              <w:t>键盘、鼠标</w:t>
            </w:r>
            <w:r>
              <w:rPr>
                <w:rFonts w:hint="eastAsia" w:ascii="宋体" w:hAnsi="宋体" w:cs="宋体"/>
                <w:color w:val="000000"/>
                <w:kern w:val="0"/>
                <w:sz w:val="22"/>
              </w:rPr>
              <w:t>。</w:t>
            </w:r>
          </w:p>
        </w:tc>
      </w:tr>
      <w:tr w14:paraId="086A22EB">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371CB">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14</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5DBE">
            <w:pPr>
              <w:widowControl/>
              <w:spacing w:line="360" w:lineRule="auto"/>
              <w:jc w:val="center"/>
              <w:textAlignment w:val="center"/>
              <w:rPr>
                <w:rFonts w:ascii="宋体" w:hAnsi="宋体" w:cs="宋体"/>
                <w:color w:val="000000"/>
                <w:kern w:val="0"/>
                <w:sz w:val="22"/>
              </w:rPr>
            </w:pPr>
            <w:r>
              <w:rPr>
                <w:rFonts w:hint="eastAsia" w:ascii="宋体" w:hAnsi="宋体" w:cs="宋体"/>
                <w:color w:val="000000"/>
                <w:kern w:val="0"/>
                <w:sz w:val="22"/>
              </w:rPr>
              <w:t>操作台</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73CDA">
            <w:pPr>
              <w:widowControl/>
              <w:spacing w:line="360" w:lineRule="auto"/>
              <w:jc w:val="center"/>
              <w:textAlignment w:val="center"/>
              <w:rPr>
                <w:rFonts w:ascii="宋体" w:hAnsi="宋体" w:cs="宋体"/>
                <w:color w:val="000000"/>
                <w:kern w:val="0"/>
                <w:sz w:val="22"/>
              </w:rPr>
            </w:pPr>
            <w:r>
              <w:rPr>
                <w:rFonts w:hint="eastAsia" w:ascii="宋体" w:hAnsi="宋体" w:cs="宋体"/>
                <w:color w:val="000000"/>
                <w:kern w:val="0"/>
                <w:sz w:val="22"/>
              </w:rPr>
              <w:t>张</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1437">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2</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A914B">
            <w:pPr>
              <w:widowControl/>
              <w:numPr>
                <w:ilvl w:val="0"/>
                <w:numId w:val="3"/>
              </w:numPr>
              <w:spacing w:line="360" w:lineRule="auto"/>
              <w:jc w:val="left"/>
              <w:textAlignment w:val="center"/>
              <w:rPr>
                <w:rFonts w:ascii="宋体" w:hAnsi="宋体" w:cs="宋体"/>
                <w:color w:val="000000"/>
                <w:kern w:val="0"/>
                <w:sz w:val="22"/>
              </w:rPr>
            </w:pPr>
            <w:r>
              <w:rPr>
                <w:rFonts w:ascii="宋体" w:hAnsi="宋体" w:cs="宋体"/>
                <w:color w:val="000000"/>
                <w:kern w:val="0"/>
                <w:sz w:val="22"/>
              </w:rPr>
              <w:t>木质</w:t>
            </w:r>
            <w:r>
              <w:rPr>
                <w:rFonts w:hint="eastAsia" w:ascii="宋体" w:hAnsi="宋体" w:cs="宋体"/>
                <w:color w:val="000000"/>
                <w:kern w:val="0"/>
                <w:sz w:val="22"/>
              </w:rPr>
              <w:t>材料；符合GB 18580-2017，GB/T3324-2017。</w:t>
            </w:r>
          </w:p>
          <w:p w14:paraId="0479CE9C">
            <w:pPr>
              <w:widowControl/>
              <w:numPr>
                <w:ilvl w:val="0"/>
                <w:numId w:val="3"/>
              </w:numPr>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规格：</w:t>
            </w:r>
            <w:r>
              <w:rPr>
                <w:rFonts w:ascii="宋体" w:hAnsi="宋体" w:cs="宋体"/>
                <w:color w:val="000000"/>
                <w:kern w:val="0"/>
                <w:sz w:val="22"/>
              </w:rPr>
              <w:t>长宽高</w:t>
            </w:r>
            <w:r>
              <w:rPr>
                <w:rFonts w:hint="eastAsia" w:ascii="宋体" w:hAnsi="宋体" w:cs="宋体"/>
                <w:color w:val="000000"/>
                <w:kern w:val="0"/>
                <w:sz w:val="22"/>
              </w:rPr>
              <w:t>20</w:t>
            </w:r>
            <w:r>
              <w:rPr>
                <w:rFonts w:ascii="宋体" w:hAnsi="宋体" w:cs="宋体"/>
                <w:color w:val="000000"/>
                <w:kern w:val="0"/>
                <w:sz w:val="22"/>
              </w:rPr>
              <w:t>0cm*60cm*75cm</w:t>
            </w:r>
          </w:p>
        </w:tc>
      </w:tr>
      <w:tr w14:paraId="7F9858D8">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4127">
            <w:pPr>
              <w:widowControl/>
              <w:spacing w:line="360" w:lineRule="auto"/>
              <w:jc w:val="center"/>
              <w:textAlignment w:val="center"/>
              <w:rPr>
                <w:rFonts w:ascii="宋体" w:hAnsi="宋体" w:cs="宋体"/>
                <w:color w:val="000000"/>
                <w:kern w:val="0"/>
                <w:sz w:val="22"/>
              </w:rPr>
            </w:pPr>
            <w:r>
              <w:rPr>
                <w:rFonts w:hint="eastAsia" w:ascii="宋体" w:hAnsi="宋体" w:cs="宋体"/>
                <w:color w:val="000000"/>
                <w:kern w:val="0"/>
                <w:sz w:val="22"/>
              </w:rPr>
              <w:t>15</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28792">
            <w:pPr>
              <w:widowControl/>
              <w:spacing w:line="360" w:lineRule="auto"/>
              <w:jc w:val="center"/>
              <w:textAlignment w:val="center"/>
              <w:rPr>
                <w:rFonts w:ascii="宋体" w:hAnsi="宋体" w:cs="宋体"/>
                <w:color w:val="000000"/>
                <w:kern w:val="0"/>
                <w:sz w:val="22"/>
              </w:rPr>
            </w:pPr>
            <w:r>
              <w:rPr>
                <w:rFonts w:hint="eastAsia" w:ascii="宋体" w:hAnsi="宋体" w:cs="宋体"/>
                <w:color w:val="000000"/>
                <w:kern w:val="0"/>
                <w:sz w:val="22"/>
              </w:rPr>
              <w:t>座椅</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F841">
            <w:pPr>
              <w:widowControl/>
              <w:spacing w:line="360" w:lineRule="auto"/>
              <w:jc w:val="center"/>
              <w:textAlignment w:val="center"/>
              <w:rPr>
                <w:rFonts w:ascii="宋体" w:hAnsi="宋体" w:cs="宋体"/>
                <w:color w:val="000000"/>
                <w:kern w:val="0"/>
                <w:sz w:val="22"/>
              </w:rPr>
            </w:pPr>
            <w:r>
              <w:rPr>
                <w:rFonts w:hint="eastAsia" w:ascii="宋体" w:hAnsi="宋体" w:cs="宋体"/>
                <w:color w:val="000000"/>
                <w:kern w:val="0"/>
                <w:sz w:val="22"/>
              </w:rPr>
              <w:t>张</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8E6B2">
            <w:pPr>
              <w:widowControl/>
              <w:spacing w:line="360" w:lineRule="auto"/>
              <w:jc w:val="center"/>
              <w:textAlignment w:val="center"/>
              <w:rPr>
                <w:rFonts w:ascii="宋体" w:hAnsi="宋体" w:cs="宋体"/>
                <w:color w:val="000000"/>
                <w:kern w:val="0"/>
                <w:sz w:val="22"/>
              </w:rPr>
            </w:pPr>
            <w:r>
              <w:rPr>
                <w:rFonts w:hint="eastAsia" w:ascii="宋体" w:hAnsi="宋体" w:cs="宋体"/>
                <w:color w:val="000000"/>
                <w:kern w:val="0"/>
                <w:sz w:val="22"/>
              </w:rPr>
              <w:t>6</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56D7">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1.支架结构：不采用五星脚结构，无脚轮（轮子），稳固固定式底座；</w:t>
            </w:r>
          </w:p>
          <w:p w14:paraId="6710E029">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2.椅身：包含坐垫、靠背，靠背贴合人体背部曲线；</w:t>
            </w:r>
          </w:p>
          <w:p w14:paraId="48B4AA21">
            <w:pPr>
              <w:widowControl/>
              <w:spacing w:line="360" w:lineRule="auto"/>
              <w:jc w:val="left"/>
              <w:textAlignment w:val="center"/>
              <w:rPr>
                <w:rFonts w:ascii="宋体" w:hAnsi="宋体" w:cs="宋体"/>
                <w:color w:val="000000"/>
                <w:kern w:val="0"/>
                <w:sz w:val="22"/>
              </w:rPr>
            </w:pPr>
            <w:r>
              <w:rPr>
                <w:rFonts w:hint="eastAsia" w:ascii="宋体" w:hAnsi="宋体" w:cs="宋体"/>
                <w:color w:val="000000"/>
                <w:kern w:val="0"/>
                <w:sz w:val="22"/>
              </w:rPr>
              <w:t>3.材质：坐垫、靠背面料耐磨透气；内部填充高回弹海绵，不易塌陷。</w:t>
            </w:r>
          </w:p>
        </w:tc>
      </w:tr>
      <w:tr w14:paraId="2C6A9A13">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39FEA">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1</w:t>
            </w:r>
            <w:r>
              <w:rPr>
                <w:rFonts w:hint="eastAsia" w:ascii="宋体" w:hAnsi="宋体" w:cs="宋体"/>
                <w:color w:val="000000"/>
                <w:kern w:val="0"/>
                <w:sz w:val="22"/>
              </w:rPr>
              <w:t>6</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C884B">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巡查分发存储单</w:t>
            </w:r>
            <w:r>
              <w:rPr>
                <w:rFonts w:hint="eastAsia" w:ascii="宋体" w:hAnsi="宋体" w:cs="宋体"/>
                <w:color w:val="000000"/>
                <w:kern w:val="0"/>
                <w:sz w:val="22"/>
              </w:rPr>
              <w:t>元</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D948">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台</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38853">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1</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BC280">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1、必须符合和支持《国家教育考试网上巡查系统视频标准技术规范》（JY/T-KS-JS-2017-1)、《公共安全视频监控联网信息安全技术要求》（GB35114-2017）的要求；</w:t>
            </w:r>
          </w:p>
          <w:p w14:paraId="3B6E2931">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2、设备支持 RS232.RS485.USB、SATA、以太网、报警输入输出接口、音频输入输出接口、HDMI接口；≥1.4GHz，内存≥2GB；</w:t>
            </w:r>
          </w:p>
          <w:p w14:paraId="60B29F21">
            <w:pPr>
              <w:widowControl/>
              <w:spacing w:line="360" w:lineRule="auto"/>
              <w:jc w:val="left"/>
              <w:textAlignment w:val="center"/>
              <w:rPr>
                <w:rFonts w:ascii="宋体" w:hAnsi="宋体" w:cs="宋体"/>
                <w:color w:val="000000"/>
                <w:kern w:val="0"/>
                <w:sz w:val="22"/>
              </w:rPr>
            </w:pPr>
            <w:r>
              <w:rPr>
                <w:rStyle w:val="76"/>
                <w:rFonts w:hint="default"/>
              </w:rPr>
              <w:t>★</w:t>
            </w:r>
            <w:r>
              <w:rPr>
                <w:rFonts w:ascii="宋体" w:hAnsi="宋体" w:cs="宋体"/>
                <w:color w:val="000000"/>
                <w:kern w:val="0"/>
                <w:sz w:val="22"/>
              </w:rPr>
              <w:t>3、设备支持嵌入式架构，内置符合国密SM1/SM2/SM3/SM4 算法的密码芯片；</w:t>
            </w:r>
            <w:r>
              <w:rPr>
                <w:rFonts w:ascii="宋体" w:hAnsi="宋体" w:cs="宋体"/>
                <w:b/>
                <w:bCs/>
                <w:color w:val="000000"/>
                <w:kern w:val="0"/>
                <w:sz w:val="22"/>
              </w:rPr>
              <w:t>（</w:t>
            </w:r>
            <w:r>
              <w:rPr>
                <w:rStyle w:val="76"/>
                <w:rFonts w:hint="default"/>
                <w:b/>
                <w:bCs/>
              </w:rPr>
              <w:t>响应文件中提供相关功能照片</w:t>
            </w:r>
            <w:r>
              <w:rPr>
                <w:rFonts w:ascii="宋体" w:hAnsi="宋体" w:cs="宋体"/>
                <w:b/>
                <w:bCs/>
                <w:color w:val="000000"/>
                <w:kern w:val="0"/>
                <w:sz w:val="22"/>
              </w:rPr>
              <w:t>）</w:t>
            </w:r>
          </w:p>
          <w:p w14:paraId="2EE25555">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4、支持 IPv4、IPv6、HTTP、UPnP、NTP、SNMPPPPOE、DNS、FTP、ONVIF、SIP、RTP、RTCP、GB28181.GB35114等网络协议；</w:t>
            </w:r>
          </w:p>
          <w:p w14:paraId="36BE77E8">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5、支持H265.H.264.MPEG4.SAVC 视频编码格式，可接入支持教育 SIP 协议GB/T28181、GB35114协议的设备；</w:t>
            </w:r>
          </w:p>
          <w:p w14:paraId="6ACF7A9E">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6、支持 G.711alaw、G711ulaw、G.722.G.726.AAC 音频编码格式；</w:t>
            </w:r>
          </w:p>
          <w:p w14:paraId="6BE3A8D7">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7、支持 SIP地址解析，信令转发支持用户权限管理；产品内置 SIP-UA，支持直接向 SIP服务；支持SIP地址解析，信令转发；设备支持唯一 ID；</w:t>
            </w:r>
          </w:p>
          <w:p w14:paraId="40BFB43B">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8、支持 PS和TS传输流的封装，支持IP单播技术；</w:t>
            </w:r>
          </w:p>
          <w:p w14:paraId="5AC8154E">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9、最大具有 32路（1920X1080），具有1080P 视频输入及IPC复合音频输入；最大转发带宽不低于 512Mbps；</w:t>
            </w:r>
          </w:p>
          <w:p w14:paraId="592133E0">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10、应有数字时钟显示（OSD）功能，支持字符叠加功能，可设置透明闪烁、透明不闪烁不透明不闪烁、不透明闪烁4种OSD 属性；</w:t>
            </w:r>
          </w:p>
          <w:p w14:paraId="1218479F">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11、支持 ping测试、网络诊断（网络流量监控、网络抓包、网络通畅)和硬盘检测等功能；</w:t>
            </w:r>
          </w:p>
          <w:p w14:paraId="0F78A5F2">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12、支持 N+1热备功能，一台工作 NVR异常下线时，热备 NVR接管异常工作，提升数字通道存储的可靠性，故障恢复后可将存储的录像回传回原设备。同时支持双系统切换功能另一个操作系统能够正常工作；</w:t>
            </w:r>
          </w:p>
          <w:p w14:paraId="4A75F4F8">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13、可通过客户端与设备端进行实时双向对讲:可通过客户端与设备的 IP通道进行实时双向对讲；</w:t>
            </w:r>
          </w:p>
          <w:p w14:paraId="7F7EF029">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14、应支持时间同步功能，支持网络时间协议（NTP）；</w:t>
            </w:r>
          </w:p>
          <w:p w14:paraId="03B9BD05">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15、应支持可设定的点对点、点对多点传输能力；多通道设备应支持多点对一点或多点对多点的切换控制功能；</w:t>
            </w:r>
          </w:p>
          <w:p w14:paraId="3CF4B34D">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16、支持加密公私钥对等功能。</w:t>
            </w:r>
          </w:p>
          <w:p w14:paraId="4E8C9DDA">
            <w:pPr>
              <w:widowControl/>
              <w:spacing w:line="360" w:lineRule="auto"/>
              <w:jc w:val="left"/>
              <w:textAlignment w:val="center"/>
              <w:rPr>
                <w:rFonts w:ascii="宋体" w:hAnsi="宋体" w:cs="宋体"/>
                <w:color w:val="000000"/>
                <w:kern w:val="0"/>
                <w:sz w:val="22"/>
              </w:rPr>
            </w:pPr>
            <w:r>
              <w:rPr>
                <w:rStyle w:val="76"/>
                <w:rFonts w:hint="default"/>
              </w:rPr>
              <w:t>★</w:t>
            </w:r>
            <w:r>
              <w:rPr>
                <w:rFonts w:ascii="宋体" w:hAnsi="宋体" w:cs="宋体"/>
                <w:color w:val="000000"/>
                <w:kern w:val="0"/>
                <w:sz w:val="22"/>
              </w:rPr>
              <w:t>17、投标人承诺签订合同后 7 个工作日内该产品能实现与已建六安市教育局考试</w:t>
            </w:r>
            <w:r>
              <w:rPr>
                <w:rFonts w:hint="eastAsia" w:ascii="宋体" w:hAnsi="宋体" w:cs="宋体"/>
                <w:color w:val="000000"/>
                <w:kern w:val="0"/>
                <w:sz w:val="22"/>
              </w:rPr>
              <w:t>指挥</w:t>
            </w:r>
            <w:r>
              <w:rPr>
                <w:rFonts w:ascii="宋体" w:hAnsi="宋体" w:cs="宋体"/>
                <w:color w:val="000000"/>
                <w:kern w:val="0"/>
                <w:sz w:val="22"/>
              </w:rPr>
              <w:t>中心原网上巡查系统无缝对接；无缝对接标准，参照《安徽省教育招生考试院关于进一步做好标准化考点高清升级工作有关事项的通知》（皖招考〔2019〕47号）的技术规范要求进行对接；</w:t>
            </w:r>
            <w:r>
              <w:rPr>
                <w:rFonts w:hint="eastAsia" w:ascii="宋体" w:hAnsi="宋体" w:cs="宋体"/>
                <w:color w:val="000000"/>
                <w:kern w:val="0"/>
                <w:sz w:val="22"/>
              </w:rPr>
              <w:t>对接所产生的全部费用包含在总报价中</w:t>
            </w:r>
            <w:r>
              <w:rPr>
                <w:rFonts w:ascii="宋体" w:hAnsi="宋体" w:cs="宋体"/>
                <w:color w:val="000000"/>
                <w:kern w:val="0"/>
                <w:sz w:val="22"/>
              </w:rPr>
              <w:t>，</w:t>
            </w:r>
            <w:r>
              <w:rPr>
                <w:rFonts w:hint="eastAsia" w:ascii="宋体" w:hAnsi="宋体" w:cs="宋体"/>
                <w:color w:val="000000"/>
                <w:kern w:val="0"/>
                <w:sz w:val="22"/>
              </w:rPr>
              <w:t>发包人</w:t>
            </w:r>
            <w:r>
              <w:rPr>
                <w:rFonts w:ascii="宋体" w:hAnsi="宋体" w:cs="宋体"/>
                <w:color w:val="000000"/>
                <w:kern w:val="0"/>
                <w:sz w:val="22"/>
              </w:rPr>
              <w:t>不再另行支付。</w:t>
            </w:r>
            <w:r>
              <w:rPr>
                <w:rFonts w:ascii="宋体" w:hAnsi="宋体" w:cs="宋体"/>
                <w:b/>
                <w:bCs/>
                <w:color w:val="000000"/>
                <w:kern w:val="0"/>
                <w:sz w:val="22"/>
              </w:rPr>
              <w:t>（响应文件中须提供承诺函，格式自拟)。</w:t>
            </w:r>
          </w:p>
        </w:tc>
      </w:tr>
      <w:tr w14:paraId="198F4140">
        <w:tblPrEx>
          <w:tblCellMar>
            <w:top w:w="0" w:type="dxa"/>
            <w:left w:w="108" w:type="dxa"/>
            <w:bottom w:w="0" w:type="dxa"/>
            <w:right w:w="108" w:type="dxa"/>
          </w:tblCellMar>
        </w:tblPrEx>
        <w:trPr>
          <w:trHeight w:val="540" w:hRule="atLeast"/>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666D">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1</w:t>
            </w:r>
            <w:r>
              <w:rPr>
                <w:rFonts w:hint="eastAsia" w:ascii="宋体" w:hAnsi="宋体" w:cs="宋体"/>
                <w:color w:val="000000"/>
                <w:kern w:val="0"/>
                <w:sz w:val="22"/>
              </w:rPr>
              <w:t>7</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D4D4C">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8T视频存储硬盘</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A481">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块</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AFE3">
            <w:pPr>
              <w:widowControl/>
              <w:spacing w:line="360" w:lineRule="auto"/>
              <w:jc w:val="center"/>
              <w:textAlignment w:val="center"/>
              <w:rPr>
                <w:rFonts w:ascii="宋体" w:hAnsi="宋体" w:cs="宋体"/>
                <w:color w:val="000000"/>
                <w:kern w:val="0"/>
                <w:sz w:val="22"/>
              </w:rPr>
            </w:pPr>
            <w:r>
              <w:rPr>
                <w:rFonts w:ascii="宋体" w:hAnsi="宋体" w:cs="宋体"/>
                <w:color w:val="000000"/>
                <w:kern w:val="0"/>
                <w:sz w:val="22"/>
              </w:rPr>
              <w:t>4</w:t>
            </w:r>
          </w:p>
        </w:tc>
        <w:tc>
          <w:tcPr>
            <w:tcW w:w="37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D3146">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1 硬盘类型 监控级硬盘（专为视频监控设计）</w:t>
            </w:r>
          </w:p>
          <w:p w14:paraId="5AF3DB8D">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2 存储容量 ≥8TB 需满足 7×24 小时连续录像存储</w:t>
            </w:r>
          </w:p>
          <w:p w14:paraId="1A8BAFB4">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3 硬盘尺寸 3.5 英寸 标准监控硬盘规格</w:t>
            </w:r>
          </w:p>
          <w:p w14:paraId="1084CC17">
            <w:pPr>
              <w:widowControl/>
              <w:spacing w:line="360" w:lineRule="auto"/>
              <w:jc w:val="left"/>
              <w:textAlignment w:val="center"/>
              <w:rPr>
                <w:rFonts w:ascii="宋体" w:hAnsi="宋体" w:cs="宋体"/>
                <w:color w:val="000000"/>
                <w:kern w:val="0"/>
                <w:sz w:val="22"/>
              </w:rPr>
            </w:pPr>
            <w:r>
              <w:rPr>
                <w:rFonts w:ascii="宋体" w:hAnsi="宋体" w:cs="宋体"/>
                <w:color w:val="000000"/>
                <w:kern w:val="0"/>
                <w:sz w:val="22"/>
              </w:rPr>
              <w:t>4 接口类型 SATA 6Gb/s（SATA 3.0） 传输速率不低于 6Gb/s</w:t>
            </w:r>
          </w:p>
        </w:tc>
      </w:tr>
    </w:tbl>
    <w:p w14:paraId="2765F474">
      <w:pPr>
        <w:spacing w:line="360" w:lineRule="auto"/>
        <w:ind w:firstLine="482" w:firstLineChars="200"/>
        <w:rPr>
          <w:rFonts w:ascii="宋体" w:hAnsi="宋体" w:cs="宋体"/>
          <w:b/>
          <w:bCs/>
          <w:sz w:val="24"/>
          <w:szCs w:val="24"/>
        </w:rPr>
      </w:pPr>
    </w:p>
    <w:p w14:paraId="2BB04B96">
      <w:pPr>
        <w:spacing w:line="360" w:lineRule="auto"/>
        <w:ind w:firstLine="482" w:firstLineChars="200"/>
        <w:rPr>
          <w:rFonts w:ascii="宋体" w:hAnsi="宋体" w:cs="宋体"/>
          <w:b/>
          <w:bCs/>
          <w:sz w:val="24"/>
          <w:szCs w:val="24"/>
        </w:rPr>
      </w:pPr>
      <w:r>
        <w:rPr>
          <w:rFonts w:hint="eastAsia" w:ascii="宋体" w:hAnsi="宋体" w:cs="宋体"/>
          <w:b/>
          <w:bCs/>
          <w:sz w:val="24"/>
          <w:szCs w:val="24"/>
        </w:rPr>
        <w:t>（四）总体要求</w:t>
      </w:r>
    </w:p>
    <w:p w14:paraId="484655CD">
      <w:pPr>
        <w:pStyle w:val="6"/>
        <w:spacing w:line="360" w:lineRule="auto"/>
      </w:pPr>
      <w:r>
        <w:rPr>
          <w:rFonts w:hint="eastAsia"/>
        </w:rPr>
        <w:t>1.质保期</w:t>
      </w:r>
    </w:p>
    <w:p w14:paraId="79DDFC2E">
      <w:pPr>
        <w:pStyle w:val="6"/>
        <w:spacing w:line="360" w:lineRule="auto"/>
      </w:pPr>
      <w:r>
        <w:rPr>
          <w:rFonts w:hint="eastAsia"/>
        </w:rPr>
        <w:t>自项目验收合格之日起免费质保3年。</w:t>
      </w:r>
    </w:p>
    <w:p w14:paraId="27E13DF4">
      <w:pPr>
        <w:pStyle w:val="6"/>
        <w:spacing w:line="360" w:lineRule="auto"/>
      </w:pPr>
      <w:r>
        <w:rPr>
          <w:rFonts w:hint="eastAsia"/>
        </w:rPr>
        <w:t>2.售后服务</w:t>
      </w:r>
    </w:p>
    <w:p w14:paraId="59BD0316">
      <w:pPr>
        <w:pStyle w:val="6"/>
        <w:spacing w:line="360" w:lineRule="auto"/>
      </w:pPr>
      <w:r>
        <w:rPr>
          <w:rFonts w:hint="eastAsia"/>
        </w:rPr>
        <w:t>①质保期内，因产品质量问题导致的故障，成交供应商应免费维修或更换，所产生的一切费用（含人工、材料、差旅等）由成交供应商承担。</w:t>
      </w:r>
    </w:p>
    <w:p w14:paraId="39765C5D">
      <w:pPr>
        <w:pStyle w:val="6"/>
        <w:spacing w:line="360" w:lineRule="auto"/>
      </w:pPr>
      <w:r>
        <w:rPr>
          <w:rFonts w:hint="eastAsia"/>
        </w:rPr>
        <w:t>②成交供应商应提供7×24小时售后服务电话；接到故障报修后，2小时内响应，1个工作日内修复；如无法及时修复的，应提供临时解决方案或备用方案，确保会议室正常使用。</w:t>
      </w:r>
    </w:p>
    <w:p w14:paraId="2AE072D8">
      <w:pPr>
        <w:pStyle w:val="6"/>
        <w:spacing w:line="360" w:lineRule="auto"/>
      </w:pPr>
      <w:r>
        <w:rPr>
          <w:rFonts w:hint="eastAsia"/>
        </w:rPr>
        <w:t>③质保期内，成交供应商应定期对系统进行巡检，每年不少于4次，并出具巡检报告。</w:t>
      </w:r>
    </w:p>
    <w:p w14:paraId="0A87AB04">
      <w:pPr>
        <w:pStyle w:val="6"/>
        <w:spacing w:line="360" w:lineRule="auto"/>
      </w:pPr>
      <w:r>
        <w:rPr>
          <w:rFonts w:hint="eastAsia"/>
        </w:rPr>
        <w:t>④质保期满后，成交供应商应继续提供维修服务，只收取成本费用。</w:t>
      </w:r>
    </w:p>
    <w:p w14:paraId="02EE32CA">
      <w:pPr>
        <w:pStyle w:val="6"/>
        <w:spacing w:line="360" w:lineRule="auto"/>
      </w:pPr>
      <w:r>
        <w:rPr>
          <w:rFonts w:hint="eastAsia"/>
        </w:rPr>
        <w:t>3.培训要求</w:t>
      </w:r>
    </w:p>
    <w:p w14:paraId="1C3D9948">
      <w:pPr>
        <w:pStyle w:val="6"/>
        <w:spacing w:line="360" w:lineRule="auto"/>
      </w:pPr>
      <w:r>
        <w:rPr>
          <w:rFonts w:hint="eastAsia"/>
        </w:rPr>
        <w:t>成交供应商负责对发包人相关使用人员进行现场培训，内容包括设备操作、控制软件使用、信号切换、日常维护保养及常见故障处理等，确保使用人员能够独立操作使用。</w:t>
      </w:r>
    </w:p>
    <w:p w14:paraId="19C19E0D">
      <w:pPr>
        <w:pStyle w:val="6"/>
        <w:spacing w:line="360" w:lineRule="auto"/>
      </w:pPr>
      <w:r>
        <w:rPr>
          <w:rFonts w:hint="eastAsia"/>
        </w:rPr>
        <w:t>4.报价要求</w:t>
      </w:r>
    </w:p>
    <w:p w14:paraId="79233AE9">
      <w:pPr>
        <w:pStyle w:val="6"/>
        <w:spacing w:line="360" w:lineRule="auto"/>
      </w:pPr>
      <w:r>
        <w:rPr>
          <w:rFonts w:hint="eastAsia"/>
        </w:rPr>
        <w:t>响应报价须包含完成本项目所需的全部费用（含设备供货、运输、装卸、拆除、安装、调试、检测、培训、售后服务、税金等），质保期内不再另行收取任何费用。</w:t>
      </w:r>
    </w:p>
    <w:p w14:paraId="56F9732A">
      <w:pPr>
        <w:pStyle w:val="6"/>
        <w:spacing w:line="360" w:lineRule="auto"/>
      </w:pPr>
      <w:r>
        <w:rPr>
          <w:rFonts w:hint="eastAsia"/>
        </w:rPr>
        <w:t>5.成交供应商须严格按照国家现行行业标准、技术规范、发包文件要求及发包人使用需求完成本项目全部工作，确保施工规范、设备质量合格、系统运行稳定，项目整体验收合格、交付可用，全面满足发包人会议室使用及监控存储运维需求。</w:t>
      </w:r>
    </w:p>
    <w:p w14:paraId="6512EFEF">
      <w:pPr>
        <w:rPr>
          <w:rFonts w:ascii="宋体" w:hAnsi="宋体" w:cs="宋体"/>
          <w:b/>
          <w:sz w:val="28"/>
        </w:rPr>
      </w:pPr>
      <w:bookmarkStart w:id="75" w:name="_Toc9944"/>
      <w:r>
        <w:rPr>
          <w:rFonts w:hint="eastAsia" w:ascii="宋体" w:hAnsi="宋体" w:cs="宋体"/>
          <w:b/>
          <w:sz w:val="28"/>
        </w:rPr>
        <w:br w:type="page"/>
      </w:r>
    </w:p>
    <w:p w14:paraId="30B4CB87">
      <w:pPr>
        <w:spacing w:line="360" w:lineRule="auto"/>
        <w:jc w:val="center"/>
        <w:outlineLvl w:val="0"/>
        <w:rPr>
          <w:rFonts w:ascii="宋体" w:hAnsi="宋体" w:cs="宋体"/>
          <w:b/>
          <w:sz w:val="28"/>
        </w:rPr>
      </w:pPr>
      <w:r>
        <w:rPr>
          <w:rFonts w:hint="eastAsia" w:ascii="宋体" w:hAnsi="宋体" w:cs="宋体"/>
          <w:b/>
          <w:sz w:val="28"/>
        </w:rPr>
        <w:t>第四章  评审方法和标准</w:t>
      </w:r>
      <w:bookmarkEnd w:id="75"/>
    </w:p>
    <w:p w14:paraId="7923014B">
      <w:pPr>
        <w:spacing w:line="360" w:lineRule="auto"/>
        <w:ind w:firstLine="437"/>
        <w:outlineLvl w:val="1"/>
        <w:rPr>
          <w:rFonts w:ascii="宋体" w:hAnsi="宋体" w:cs="宋体"/>
          <w:b/>
          <w:sz w:val="24"/>
        </w:rPr>
      </w:pPr>
      <w:bookmarkStart w:id="76" w:name="_Toc6595"/>
      <w:bookmarkStart w:id="77" w:name="_Toc12199"/>
      <w:bookmarkStart w:id="78" w:name="_Toc30385"/>
      <w:bookmarkStart w:id="79" w:name="_Toc21211"/>
      <w:r>
        <w:rPr>
          <w:rFonts w:hint="eastAsia" w:ascii="宋体" w:hAnsi="宋体" w:cs="宋体"/>
          <w:b/>
          <w:sz w:val="24"/>
        </w:rPr>
        <w:t>一、总则</w:t>
      </w:r>
      <w:bookmarkEnd w:id="76"/>
      <w:bookmarkEnd w:id="77"/>
      <w:bookmarkEnd w:id="78"/>
      <w:bookmarkEnd w:id="79"/>
    </w:p>
    <w:p w14:paraId="6E8A30B1">
      <w:pPr>
        <w:spacing w:line="360" w:lineRule="auto"/>
        <w:ind w:firstLine="435"/>
        <w:rPr>
          <w:rFonts w:ascii="宋体" w:hAnsi="宋体" w:cs="宋体"/>
          <w:sz w:val="24"/>
        </w:rPr>
      </w:pPr>
      <w:r>
        <w:rPr>
          <w:rFonts w:hint="eastAsia" w:ascii="宋体" w:hAnsi="宋体" w:cs="宋体"/>
          <w:sz w:val="24"/>
        </w:rPr>
        <w:t>本项目将按照发包文件第二章 供应商须知的相关要求及本章的规定评审。</w:t>
      </w:r>
    </w:p>
    <w:p w14:paraId="7D90C3B6">
      <w:pPr>
        <w:spacing w:line="360" w:lineRule="auto"/>
        <w:ind w:firstLine="437"/>
        <w:outlineLvl w:val="1"/>
        <w:rPr>
          <w:rFonts w:ascii="宋体" w:hAnsi="宋体" w:cs="宋体"/>
          <w:b/>
          <w:sz w:val="24"/>
        </w:rPr>
      </w:pPr>
      <w:bookmarkStart w:id="80" w:name="_Toc13039"/>
      <w:bookmarkStart w:id="81" w:name="_Toc12171"/>
      <w:bookmarkStart w:id="82" w:name="_Toc16885"/>
      <w:bookmarkStart w:id="83" w:name="_Toc6032"/>
      <w:r>
        <w:rPr>
          <w:rFonts w:hint="eastAsia" w:ascii="宋体" w:hAnsi="宋体" w:cs="宋体"/>
          <w:b/>
          <w:sz w:val="24"/>
        </w:rPr>
        <w:t>二、评审方法</w:t>
      </w:r>
      <w:bookmarkEnd w:id="80"/>
      <w:bookmarkEnd w:id="81"/>
      <w:bookmarkEnd w:id="82"/>
      <w:bookmarkEnd w:id="83"/>
    </w:p>
    <w:p w14:paraId="2E3F2812">
      <w:pPr>
        <w:spacing w:line="360" w:lineRule="auto"/>
        <w:ind w:firstLine="435"/>
        <w:outlineLvl w:val="2"/>
        <w:rPr>
          <w:rFonts w:ascii="宋体" w:hAnsi="宋体" w:cs="宋体"/>
          <w:b/>
          <w:bCs/>
          <w:sz w:val="24"/>
        </w:rPr>
      </w:pPr>
      <w:r>
        <w:rPr>
          <w:rFonts w:hint="eastAsia" w:ascii="宋体" w:hAnsi="宋体" w:cs="宋体"/>
          <w:b/>
          <w:bCs/>
          <w:sz w:val="24"/>
        </w:rPr>
        <w:t>2.1初审</w:t>
      </w:r>
    </w:p>
    <w:tbl>
      <w:tblPr>
        <w:tblStyle w:val="24"/>
        <w:tblW w:w="56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34"/>
        <w:gridCol w:w="1715"/>
        <w:gridCol w:w="3843"/>
        <w:gridCol w:w="3358"/>
      </w:tblGrid>
      <w:tr w14:paraId="6944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vAlign w:val="center"/>
          </w:tcPr>
          <w:p w14:paraId="40002FB5">
            <w:pPr>
              <w:adjustRightInd w:val="0"/>
              <w:snapToGrid w:val="0"/>
              <w:spacing w:line="360" w:lineRule="exact"/>
              <w:jc w:val="center"/>
              <w:rPr>
                <w:rFonts w:ascii="宋体" w:hAnsi="宋体" w:cs="宋体"/>
                <w:sz w:val="24"/>
              </w:rPr>
            </w:pPr>
            <w:r>
              <w:rPr>
                <w:rFonts w:hint="eastAsia" w:ascii="宋体" w:hAnsi="宋体" w:cs="宋体"/>
                <w:b/>
                <w:sz w:val="24"/>
                <w:szCs w:val="22"/>
              </w:rPr>
              <w:t>初审表</w:t>
            </w:r>
          </w:p>
        </w:tc>
      </w:tr>
      <w:tr w14:paraId="57A1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vAlign w:val="center"/>
          </w:tcPr>
          <w:p w14:paraId="1A9BDE60">
            <w:pPr>
              <w:adjustRightInd w:val="0"/>
              <w:snapToGrid w:val="0"/>
              <w:spacing w:line="360" w:lineRule="exact"/>
              <w:jc w:val="center"/>
              <w:rPr>
                <w:rFonts w:ascii="宋体" w:hAnsi="宋体" w:cs="宋体"/>
                <w:b/>
                <w:sz w:val="24"/>
                <w:szCs w:val="22"/>
              </w:rPr>
            </w:pPr>
            <w:r>
              <w:rPr>
                <w:rFonts w:hint="eastAsia" w:ascii="宋体" w:hAnsi="宋体" w:cs="宋体"/>
                <w:b/>
                <w:sz w:val="24"/>
                <w:szCs w:val="22"/>
              </w:rPr>
              <w:t>资格审查</w:t>
            </w:r>
          </w:p>
        </w:tc>
      </w:tr>
      <w:tr w14:paraId="4F1D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5" w:hRule="atLeast"/>
          <w:jc w:val="center"/>
        </w:trPr>
        <w:tc>
          <w:tcPr>
            <w:tcW w:w="332" w:type="pct"/>
            <w:tcBorders>
              <w:bottom w:val="single" w:color="auto" w:sz="4" w:space="0"/>
            </w:tcBorders>
            <w:vAlign w:val="center"/>
          </w:tcPr>
          <w:p w14:paraId="217AD916">
            <w:pPr>
              <w:adjustRightInd w:val="0"/>
              <w:snapToGrid w:val="0"/>
              <w:spacing w:line="360" w:lineRule="exact"/>
              <w:jc w:val="center"/>
              <w:rPr>
                <w:rFonts w:ascii="宋体" w:hAnsi="宋体" w:cs="宋体"/>
                <w:b/>
                <w:bCs/>
                <w:sz w:val="24"/>
              </w:rPr>
            </w:pPr>
            <w:r>
              <w:rPr>
                <w:rFonts w:hint="eastAsia" w:ascii="宋体" w:hAnsi="宋体" w:cs="宋体"/>
                <w:b/>
                <w:bCs/>
                <w:sz w:val="24"/>
              </w:rPr>
              <w:t>序号</w:t>
            </w:r>
          </w:p>
        </w:tc>
        <w:tc>
          <w:tcPr>
            <w:tcW w:w="898" w:type="pct"/>
            <w:tcBorders>
              <w:bottom w:val="single" w:color="auto" w:sz="4" w:space="0"/>
            </w:tcBorders>
            <w:vAlign w:val="center"/>
          </w:tcPr>
          <w:p w14:paraId="6ADF68A0">
            <w:pPr>
              <w:pStyle w:val="46"/>
              <w:pBdr>
                <w:bottom w:val="none" w:color="auto" w:sz="0" w:space="0"/>
              </w:pBdr>
              <w:tabs>
                <w:tab w:val="clear" w:pos="4153"/>
                <w:tab w:val="clear" w:pos="8306"/>
              </w:tabs>
              <w:snapToGrid w:val="0"/>
              <w:spacing w:line="360" w:lineRule="exact"/>
              <w:textAlignment w:val="auto"/>
              <w:rPr>
                <w:rFonts w:ascii="宋体" w:hAnsi="宋体" w:cs="宋体"/>
                <w:b/>
                <w:bCs/>
                <w:kern w:val="2"/>
                <w:szCs w:val="24"/>
              </w:rPr>
            </w:pPr>
            <w:r>
              <w:rPr>
                <w:rFonts w:hint="eastAsia" w:ascii="宋体" w:hAnsi="宋体" w:cs="宋体"/>
                <w:b/>
                <w:bCs/>
                <w:kern w:val="2"/>
                <w:szCs w:val="24"/>
              </w:rPr>
              <w:t>审查指标</w:t>
            </w:r>
          </w:p>
        </w:tc>
        <w:tc>
          <w:tcPr>
            <w:tcW w:w="2012" w:type="pct"/>
            <w:tcBorders>
              <w:bottom w:val="single" w:color="auto" w:sz="4" w:space="0"/>
            </w:tcBorders>
            <w:vAlign w:val="center"/>
          </w:tcPr>
          <w:p w14:paraId="060DE102">
            <w:pPr>
              <w:adjustRightInd w:val="0"/>
              <w:snapToGrid w:val="0"/>
              <w:spacing w:line="360" w:lineRule="exact"/>
              <w:jc w:val="center"/>
              <w:rPr>
                <w:rFonts w:ascii="宋体" w:hAnsi="宋体" w:cs="宋体"/>
                <w:b/>
                <w:bCs/>
                <w:sz w:val="24"/>
              </w:rPr>
            </w:pPr>
            <w:r>
              <w:rPr>
                <w:rFonts w:hint="eastAsia" w:ascii="宋体" w:hAnsi="宋体" w:cs="宋体"/>
                <w:b/>
                <w:bCs/>
                <w:sz w:val="24"/>
              </w:rPr>
              <w:t>审查标准</w:t>
            </w:r>
          </w:p>
        </w:tc>
        <w:tc>
          <w:tcPr>
            <w:tcW w:w="1756" w:type="pct"/>
            <w:tcBorders>
              <w:bottom w:val="single" w:color="auto" w:sz="4" w:space="0"/>
            </w:tcBorders>
            <w:vAlign w:val="center"/>
          </w:tcPr>
          <w:p w14:paraId="570FF716">
            <w:pPr>
              <w:adjustRightInd w:val="0"/>
              <w:snapToGrid w:val="0"/>
              <w:spacing w:line="360" w:lineRule="exact"/>
              <w:jc w:val="center"/>
              <w:rPr>
                <w:rFonts w:ascii="宋体" w:hAnsi="宋体" w:cs="宋体"/>
                <w:b/>
                <w:bCs/>
                <w:sz w:val="24"/>
              </w:rPr>
            </w:pPr>
            <w:r>
              <w:rPr>
                <w:rFonts w:hint="eastAsia" w:ascii="宋体" w:hAnsi="宋体" w:cs="宋体"/>
                <w:b/>
                <w:bCs/>
                <w:sz w:val="24"/>
              </w:rPr>
              <w:t>格式要求</w:t>
            </w:r>
          </w:p>
        </w:tc>
      </w:tr>
      <w:tr w14:paraId="1DD7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35" w:hRule="atLeast"/>
          <w:jc w:val="center"/>
        </w:trPr>
        <w:tc>
          <w:tcPr>
            <w:tcW w:w="332" w:type="pct"/>
            <w:tcBorders>
              <w:bottom w:val="single" w:color="auto" w:sz="4" w:space="0"/>
            </w:tcBorders>
            <w:vAlign w:val="center"/>
          </w:tcPr>
          <w:p w14:paraId="538B1F31">
            <w:pPr>
              <w:adjustRightInd w:val="0"/>
              <w:snapToGrid w:val="0"/>
              <w:spacing w:line="360" w:lineRule="exact"/>
              <w:jc w:val="center"/>
              <w:rPr>
                <w:rFonts w:ascii="宋体" w:hAnsi="宋体" w:cs="宋体"/>
                <w:sz w:val="24"/>
              </w:rPr>
            </w:pPr>
            <w:r>
              <w:rPr>
                <w:rFonts w:hint="eastAsia" w:ascii="宋体" w:hAnsi="宋体" w:cs="宋体"/>
                <w:sz w:val="24"/>
              </w:rPr>
              <w:t>1</w:t>
            </w:r>
          </w:p>
        </w:tc>
        <w:tc>
          <w:tcPr>
            <w:tcW w:w="898" w:type="pct"/>
            <w:tcBorders>
              <w:bottom w:val="single" w:color="auto" w:sz="4" w:space="0"/>
            </w:tcBorders>
            <w:vAlign w:val="center"/>
          </w:tcPr>
          <w:p w14:paraId="08FD0908">
            <w:pPr>
              <w:spacing w:line="360" w:lineRule="exact"/>
              <w:jc w:val="center"/>
              <w:rPr>
                <w:rFonts w:ascii="宋体" w:hAnsi="宋体" w:cs="宋体"/>
                <w:sz w:val="24"/>
                <w:szCs w:val="28"/>
              </w:rPr>
            </w:pPr>
            <w:r>
              <w:rPr>
                <w:rFonts w:hint="eastAsia" w:ascii="宋体" w:hAnsi="宋体" w:cs="宋体"/>
                <w:spacing w:val="9"/>
                <w:sz w:val="24"/>
                <w:szCs w:val="24"/>
              </w:rPr>
              <w:t>营业执照等证明</w:t>
            </w:r>
            <w:r>
              <w:rPr>
                <w:rFonts w:hint="eastAsia" w:ascii="宋体" w:hAnsi="宋体" w:cs="宋体"/>
                <w:spacing w:val="-3"/>
                <w:sz w:val="24"/>
                <w:szCs w:val="24"/>
              </w:rPr>
              <w:t>文件</w:t>
            </w:r>
          </w:p>
        </w:tc>
        <w:tc>
          <w:tcPr>
            <w:tcW w:w="2012" w:type="pct"/>
            <w:tcBorders>
              <w:bottom w:val="single" w:color="auto" w:sz="4" w:space="0"/>
            </w:tcBorders>
            <w:vAlign w:val="center"/>
          </w:tcPr>
          <w:p w14:paraId="3E4BA427">
            <w:pPr>
              <w:spacing w:line="360" w:lineRule="exact"/>
              <w:rPr>
                <w:rFonts w:ascii="宋体" w:hAnsi="宋体" w:cs="宋体"/>
                <w:sz w:val="24"/>
                <w:szCs w:val="24"/>
              </w:rPr>
            </w:pPr>
            <w:r>
              <w:rPr>
                <w:rFonts w:hint="eastAsia" w:ascii="宋体" w:hAnsi="宋体" w:cs="宋体"/>
                <w:sz w:val="24"/>
                <w:szCs w:val="24"/>
              </w:rPr>
              <w:t>（1）供应商为企业（包括合伙企业）的，应提供有效的营业执照；</w:t>
            </w:r>
          </w:p>
          <w:p w14:paraId="45BAF310">
            <w:pPr>
              <w:spacing w:line="360" w:lineRule="exact"/>
              <w:rPr>
                <w:rFonts w:ascii="宋体" w:hAnsi="宋体" w:cs="宋体"/>
                <w:sz w:val="24"/>
                <w:szCs w:val="24"/>
              </w:rPr>
            </w:pPr>
            <w:r>
              <w:rPr>
                <w:rFonts w:hint="eastAsia" w:ascii="宋体" w:hAnsi="宋体" w:cs="宋体"/>
                <w:sz w:val="24"/>
                <w:szCs w:val="24"/>
              </w:rPr>
              <w:t>（2）供应商为事业单位的，应提供有效的事业单位法人证书；</w:t>
            </w:r>
          </w:p>
          <w:p w14:paraId="735CDA6B">
            <w:pPr>
              <w:spacing w:line="360" w:lineRule="exact"/>
              <w:rPr>
                <w:rFonts w:ascii="宋体" w:hAnsi="宋体" w:cs="宋体"/>
                <w:sz w:val="24"/>
                <w:szCs w:val="24"/>
              </w:rPr>
            </w:pPr>
            <w:r>
              <w:rPr>
                <w:rFonts w:hint="eastAsia" w:ascii="宋体" w:hAnsi="宋体" w:cs="宋体"/>
                <w:sz w:val="24"/>
                <w:szCs w:val="24"/>
              </w:rPr>
              <w:t>（3）供应商是非企业机构的，应提供有效的执业许可证或登记证书等证明文件；</w:t>
            </w:r>
          </w:p>
          <w:p w14:paraId="5AB191F6">
            <w:pPr>
              <w:spacing w:line="360" w:lineRule="exact"/>
              <w:rPr>
                <w:rFonts w:ascii="宋体" w:hAnsi="宋体" w:cs="宋体"/>
                <w:sz w:val="24"/>
                <w:szCs w:val="24"/>
              </w:rPr>
            </w:pPr>
            <w:r>
              <w:rPr>
                <w:rFonts w:hint="eastAsia" w:ascii="宋体" w:hAnsi="宋体" w:cs="宋体"/>
                <w:sz w:val="24"/>
                <w:szCs w:val="24"/>
              </w:rPr>
              <w:t>（4）供应商是个体工商户的，应提供有效的个体工商户营业执照；</w:t>
            </w:r>
          </w:p>
          <w:p w14:paraId="1380273F">
            <w:pPr>
              <w:spacing w:line="360" w:lineRule="exact"/>
              <w:rPr>
                <w:rFonts w:ascii="宋体" w:hAnsi="宋体" w:cs="宋体"/>
                <w:sz w:val="24"/>
                <w:szCs w:val="28"/>
              </w:rPr>
            </w:pPr>
            <w:r>
              <w:rPr>
                <w:rFonts w:hint="eastAsia" w:ascii="宋体" w:hAnsi="宋体" w:cs="宋体"/>
                <w:sz w:val="24"/>
                <w:szCs w:val="24"/>
              </w:rPr>
              <w:t>（5）供应商是自然人的，应提供有效的自然人身份证明。</w:t>
            </w:r>
          </w:p>
        </w:tc>
        <w:tc>
          <w:tcPr>
            <w:tcW w:w="1756" w:type="pct"/>
            <w:vAlign w:val="center"/>
          </w:tcPr>
          <w:p w14:paraId="346AA023">
            <w:pPr>
              <w:spacing w:line="360" w:lineRule="exact"/>
              <w:jc w:val="left"/>
              <w:rPr>
                <w:rFonts w:ascii="宋体" w:hAnsi="宋体" w:cs="宋体"/>
                <w:sz w:val="24"/>
              </w:rPr>
            </w:pPr>
            <w:r>
              <w:rPr>
                <w:rFonts w:hint="eastAsia" w:ascii="宋体" w:hAnsi="宋体" w:cs="宋体"/>
                <w:sz w:val="24"/>
                <w:szCs w:val="24"/>
              </w:rPr>
              <w:t>提供材料扫描件，应完整的体现出材料全部内容。联合体的联合体各方均须提供。</w:t>
            </w:r>
          </w:p>
        </w:tc>
      </w:tr>
      <w:tr w14:paraId="1153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6" w:hRule="atLeast"/>
          <w:jc w:val="center"/>
        </w:trPr>
        <w:tc>
          <w:tcPr>
            <w:tcW w:w="332" w:type="pct"/>
            <w:tcBorders>
              <w:bottom w:val="single" w:color="auto" w:sz="4" w:space="0"/>
            </w:tcBorders>
            <w:vAlign w:val="center"/>
          </w:tcPr>
          <w:p w14:paraId="040B3F11">
            <w:pPr>
              <w:adjustRightInd w:val="0"/>
              <w:snapToGrid w:val="0"/>
              <w:spacing w:line="360" w:lineRule="exact"/>
              <w:jc w:val="center"/>
              <w:rPr>
                <w:rFonts w:ascii="宋体" w:hAnsi="宋体" w:cs="宋体"/>
                <w:sz w:val="24"/>
              </w:rPr>
            </w:pPr>
            <w:r>
              <w:rPr>
                <w:rFonts w:hint="eastAsia" w:ascii="宋体" w:hAnsi="宋体" w:cs="宋体"/>
                <w:sz w:val="24"/>
              </w:rPr>
              <w:t>2</w:t>
            </w:r>
          </w:p>
        </w:tc>
        <w:tc>
          <w:tcPr>
            <w:tcW w:w="898" w:type="pct"/>
            <w:tcBorders>
              <w:bottom w:val="single" w:color="auto" w:sz="4" w:space="0"/>
            </w:tcBorders>
            <w:vAlign w:val="center"/>
          </w:tcPr>
          <w:p w14:paraId="6B7207A0">
            <w:pPr>
              <w:spacing w:line="360" w:lineRule="exact"/>
              <w:jc w:val="center"/>
              <w:rPr>
                <w:rFonts w:ascii="宋体" w:hAnsi="宋体" w:cs="宋体"/>
                <w:sz w:val="24"/>
                <w:szCs w:val="28"/>
              </w:rPr>
            </w:pPr>
            <w:r>
              <w:rPr>
                <w:rFonts w:hint="eastAsia" w:ascii="宋体" w:hAnsi="宋体" w:cs="宋体"/>
                <w:sz w:val="24"/>
                <w:szCs w:val="18"/>
              </w:rPr>
              <w:t>供应商资格声明书、资格承诺</w:t>
            </w:r>
          </w:p>
        </w:tc>
        <w:tc>
          <w:tcPr>
            <w:tcW w:w="2012" w:type="pct"/>
            <w:tcBorders>
              <w:bottom w:val="single" w:color="auto" w:sz="4" w:space="0"/>
            </w:tcBorders>
            <w:vAlign w:val="center"/>
          </w:tcPr>
          <w:p w14:paraId="5A2E480D">
            <w:pPr>
              <w:spacing w:line="360" w:lineRule="exact"/>
              <w:rPr>
                <w:rFonts w:ascii="宋体" w:hAnsi="宋体" w:cs="宋体"/>
                <w:sz w:val="24"/>
                <w:szCs w:val="28"/>
              </w:rPr>
            </w:pPr>
            <w:r>
              <w:rPr>
                <w:rFonts w:hint="eastAsia" w:ascii="宋体" w:hAnsi="宋体" w:cs="宋体"/>
                <w:sz w:val="24"/>
                <w:szCs w:val="24"/>
              </w:rPr>
              <w:t>提供符合发包文件要求的《供应商资格声明书》《无重大违法记录声明函、无不良信用记录承诺函》</w:t>
            </w:r>
          </w:p>
        </w:tc>
        <w:tc>
          <w:tcPr>
            <w:tcW w:w="1756" w:type="pct"/>
            <w:vAlign w:val="center"/>
          </w:tcPr>
          <w:p w14:paraId="17071081">
            <w:pPr>
              <w:spacing w:line="360" w:lineRule="exact"/>
              <w:jc w:val="left"/>
              <w:rPr>
                <w:rFonts w:ascii="宋体" w:hAnsi="宋体" w:cs="宋体"/>
                <w:sz w:val="24"/>
                <w:szCs w:val="24"/>
              </w:rPr>
            </w:pPr>
            <w:r>
              <w:rPr>
                <w:rFonts w:hint="eastAsia" w:ascii="宋体" w:hAnsi="宋体" w:cs="宋体"/>
                <w:sz w:val="24"/>
              </w:rPr>
              <w:t>详见第六章响应文件格式。</w:t>
            </w:r>
          </w:p>
        </w:tc>
      </w:tr>
      <w:tr w14:paraId="16AE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1957FFCD">
            <w:pPr>
              <w:adjustRightInd w:val="0"/>
              <w:snapToGrid w:val="0"/>
              <w:spacing w:line="360" w:lineRule="exact"/>
              <w:jc w:val="center"/>
              <w:rPr>
                <w:rFonts w:ascii="宋体" w:hAnsi="宋体" w:cs="宋体"/>
                <w:sz w:val="24"/>
              </w:rPr>
            </w:pPr>
            <w:r>
              <w:rPr>
                <w:rFonts w:hint="eastAsia" w:ascii="宋体" w:hAnsi="宋体" w:cs="宋体"/>
                <w:sz w:val="24"/>
              </w:rPr>
              <w:t>3</w:t>
            </w:r>
          </w:p>
        </w:tc>
        <w:tc>
          <w:tcPr>
            <w:tcW w:w="898" w:type="pct"/>
            <w:tcBorders>
              <w:bottom w:val="single" w:color="auto" w:sz="4" w:space="0"/>
            </w:tcBorders>
            <w:vAlign w:val="center"/>
          </w:tcPr>
          <w:p w14:paraId="09221819">
            <w:pPr>
              <w:spacing w:line="360" w:lineRule="exact"/>
              <w:jc w:val="center"/>
              <w:rPr>
                <w:rFonts w:ascii="宋体" w:hAnsi="宋体" w:cs="宋体"/>
                <w:sz w:val="24"/>
                <w:szCs w:val="28"/>
              </w:rPr>
            </w:pPr>
            <w:r>
              <w:rPr>
                <w:rFonts w:hint="eastAsia" w:ascii="宋体" w:hAnsi="宋体" w:cs="宋体"/>
                <w:sz w:val="24"/>
                <w:szCs w:val="18"/>
              </w:rPr>
              <w:t>供应商</w:t>
            </w:r>
            <w:r>
              <w:rPr>
                <w:rFonts w:hint="eastAsia" w:ascii="宋体" w:hAnsi="宋体" w:cs="宋体"/>
                <w:sz w:val="24"/>
                <w:szCs w:val="24"/>
              </w:rPr>
              <w:t>信用记录</w:t>
            </w:r>
          </w:p>
        </w:tc>
        <w:tc>
          <w:tcPr>
            <w:tcW w:w="2012" w:type="pct"/>
            <w:tcBorders>
              <w:bottom w:val="single" w:color="auto" w:sz="4" w:space="0"/>
            </w:tcBorders>
            <w:vAlign w:val="center"/>
          </w:tcPr>
          <w:p w14:paraId="6C8A5901">
            <w:pPr>
              <w:spacing w:line="360" w:lineRule="exact"/>
              <w:rPr>
                <w:rFonts w:ascii="宋体" w:hAnsi="宋体" w:cs="宋体"/>
              </w:rPr>
            </w:pPr>
            <w:r>
              <w:rPr>
                <w:rFonts w:hint="eastAsia" w:ascii="宋体" w:hAnsi="宋体" w:cs="宋体"/>
                <w:sz w:val="24"/>
                <w:szCs w:val="24"/>
              </w:rPr>
              <w:t>供应商</w:t>
            </w:r>
            <w:r>
              <w:rPr>
                <w:rFonts w:hint="eastAsia" w:ascii="宋体" w:hAnsi="宋体" w:cs="宋体"/>
                <w:sz w:val="24"/>
                <w:szCs w:val="24"/>
                <w:lang w:val="zh-CN"/>
              </w:rPr>
              <w:t>不得存在</w:t>
            </w:r>
            <w:r>
              <w:rPr>
                <w:rFonts w:hint="eastAsia" w:ascii="宋体" w:hAnsi="宋体" w:cs="宋体"/>
                <w:sz w:val="24"/>
                <w:szCs w:val="24"/>
              </w:rPr>
              <w:t>供应商</w:t>
            </w:r>
            <w:r>
              <w:rPr>
                <w:rFonts w:hint="eastAsia" w:ascii="宋体" w:hAnsi="宋体" w:cs="宋体"/>
                <w:sz w:val="24"/>
                <w:szCs w:val="24"/>
                <w:lang w:val="zh-CN"/>
              </w:rPr>
              <w:t>须知正文第1</w:t>
            </w:r>
            <w:r>
              <w:rPr>
                <w:rFonts w:hint="eastAsia" w:ascii="宋体" w:hAnsi="宋体" w:cs="宋体"/>
                <w:sz w:val="24"/>
                <w:szCs w:val="24"/>
              </w:rPr>
              <w:t>4</w:t>
            </w:r>
            <w:r>
              <w:rPr>
                <w:rFonts w:hint="eastAsia" w:ascii="宋体" w:hAnsi="宋体" w:cs="宋体"/>
                <w:sz w:val="24"/>
                <w:szCs w:val="24"/>
                <w:lang w:val="zh-CN"/>
              </w:rPr>
              <w:t>.</w:t>
            </w:r>
            <w:r>
              <w:rPr>
                <w:rFonts w:hint="eastAsia" w:ascii="宋体" w:hAnsi="宋体" w:cs="宋体"/>
                <w:sz w:val="24"/>
                <w:szCs w:val="24"/>
              </w:rPr>
              <w:t>3.1条中</w:t>
            </w:r>
            <w:r>
              <w:rPr>
                <w:rFonts w:hint="eastAsia" w:ascii="宋体" w:hAnsi="宋体" w:cs="宋体"/>
                <w:sz w:val="24"/>
                <w:szCs w:val="28"/>
              </w:rPr>
              <w:t>的</w:t>
            </w:r>
            <w:r>
              <w:rPr>
                <w:rFonts w:hint="eastAsia" w:ascii="宋体" w:hAnsi="宋体" w:cs="宋体"/>
                <w:sz w:val="24"/>
                <w:szCs w:val="18"/>
              </w:rPr>
              <w:t>不良信用记录情形</w:t>
            </w:r>
          </w:p>
        </w:tc>
        <w:tc>
          <w:tcPr>
            <w:tcW w:w="1756" w:type="pct"/>
            <w:tcBorders>
              <w:bottom w:val="single" w:color="auto" w:sz="4" w:space="0"/>
            </w:tcBorders>
            <w:vAlign w:val="center"/>
          </w:tcPr>
          <w:p w14:paraId="389D6572">
            <w:pPr>
              <w:spacing w:line="360" w:lineRule="exact"/>
              <w:rPr>
                <w:rFonts w:ascii="宋体" w:hAnsi="宋体" w:cs="宋体"/>
              </w:rPr>
            </w:pPr>
            <w:r>
              <w:rPr>
                <w:rFonts w:hint="eastAsia" w:ascii="宋体" w:hAnsi="宋体" w:cs="宋体"/>
                <w:sz w:val="24"/>
                <w:szCs w:val="24"/>
              </w:rPr>
              <w:t>无需提供证明材料。投标截止时间后至评审结束前，对投标人(含联合体成员)进行查询，以“信用中国(www.creditchina.gov.cn)”网站查询为准，现场对查询结果截图存档。网站查询有故障的，则此项评审时不作要求，现场对故障页面证据截图存档。</w:t>
            </w:r>
          </w:p>
        </w:tc>
      </w:tr>
      <w:tr w14:paraId="7913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vAlign w:val="center"/>
          </w:tcPr>
          <w:p w14:paraId="18ADA2EA">
            <w:pPr>
              <w:adjustRightInd w:val="0"/>
              <w:snapToGrid w:val="0"/>
              <w:spacing w:line="360" w:lineRule="exact"/>
              <w:jc w:val="center"/>
              <w:rPr>
                <w:rFonts w:ascii="宋体" w:hAnsi="宋体" w:cs="宋体"/>
                <w:sz w:val="24"/>
              </w:rPr>
            </w:pPr>
            <w:r>
              <w:rPr>
                <w:rFonts w:hint="eastAsia" w:ascii="宋体" w:hAnsi="宋体" w:cs="宋体"/>
                <w:sz w:val="24"/>
              </w:rPr>
              <w:t>4</w:t>
            </w:r>
          </w:p>
        </w:tc>
        <w:tc>
          <w:tcPr>
            <w:tcW w:w="898" w:type="pct"/>
            <w:tcBorders>
              <w:bottom w:val="single" w:color="auto" w:sz="4" w:space="0"/>
            </w:tcBorders>
            <w:vAlign w:val="center"/>
          </w:tcPr>
          <w:p w14:paraId="3FD9F2C8">
            <w:pPr>
              <w:spacing w:line="360" w:lineRule="exact"/>
              <w:jc w:val="center"/>
              <w:rPr>
                <w:rFonts w:ascii="宋体" w:hAnsi="宋体" w:cs="宋体"/>
                <w:spacing w:val="10"/>
                <w:sz w:val="24"/>
                <w:szCs w:val="24"/>
              </w:rPr>
            </w:pPr>
            <w:r>
              <w:rPr>
                <w:rFonts w:hint="eastAsia" w:ascii="宋体" w:hAnsi="宋体" w:cs="宋体"/>
                <w:spacing w:val="10"/>
                <w:sz w:val="24"/>
                <w:szCs w:val="24"/>
              </w:rPr>
              <w:t>本项目对于联合</w:t>
            </w:r>
            <w:r>
              <w:rPr>
                <w:rFonts w:hint="eastAsia" w:ascii="宋体" w:hAnsi="宋体" w:cs="宋体"/>
                <w:spacing w:val="-2"/>
                <w:sz w:val="24"/>
                <w:szCs w:val="24"/>
              </w:rPr>
              <w:t>体的要求（</w:t>
            </w:r>
            <w:r>
              <w:rPr>
                <w:rFonts w:hint="eastAsia" w:ascii="宋体" w:hAnsi="宋体" w:cs="宋体"/>
                <w:i/>
                <w:iCs/>
                <w:spacing w:val="-2"/>
                <w:sz w:val="24"/>
                <w:szCs w:val="24"/>
              </w:rPr>
              <w:t>适用于接受联合体项目</w:t>
            </w:r>
            <w:r>
              <w:rPr>
                <w:rFonts w:hint="eastAsia" w:ascii="宋体" w:hAnsi="宋体" w:cs="宋体"/>
                <w:spacing w:val="-2"/>
                <w:sz w:val="24"/>
                <w:szCs w:val="24"/>
              </w:rPr>
              <w:t>）</w:t>
            </w:r>
          </w:p>
        </w:tc>
        <w:tc>
          <w:tcPr>
            <w:tcW w:w="2012" w:type="pct"/>
            <w:tcBorders>
              <w:bottom w:val="single" w:color="auto" w:sz="4" w:space="0"/>
            </w:tcBorders>
            <w:vAlign w:val="center"/>
          </w:tcPr>
          <w:p w14:paraId="452B0F05">
            <w:pPr>
              <w:spacing w:line="360" w:lineRule="exact"/>
              <w:rPr>
                <w:rFonts w:ascii="宋体" w:hAnsi="宋体" w:cs="宋体"/>
                <w:spacing w:val="-2"/>
                <w:sz w:val="24"/>
                <w:szCs w:val="24"/>
              </w:rPr>
            </w:pPr>
            <w:r>
              <w:rPr>
                <w:rFonts w:hint="eastAsia" w:ascii="宋体" w:hAnsi="宋体" w:cs="宋体"/>
                <w:spacing w:val="-2"/>
                <w:sz w:val="24"/>
                <w:szCs w:val="24"/>
              </w:rPr>
              <w:t>联合体的要求</w:t>
            </w:r>
            <w:r>
              <w:rPr>
                <w:rFonts w:hint="eastAsia" w:ascii="宋体" w:hAnsi="宋体" w:cs="宋体"/>
                <w:spacing w:val="10"/>
                <w:sz w:val="24"/>
                <w:szCs w:val="24"/>
              </w:rPr>
              <w:t>详见</w:t>
            </w:r>
            <w:r>
              <w:rPr>
                <w:rFonts w:hint="eastAsia" w:ascii="宋体" w:hAnsi="宋体" w:cs="宋体"/>
                <w:sz w:val="24"/>
                <w:szCs w:val="24"/>
              </w:rPr>
              <w:t>供应商</w:t>
            </w:r>
            <w:r>
              <w:rPr>
                <w:rFonts w:hint="eastAsia" w:ascii="宋体" w:hAnsi="宋体" w:cs="宋体"/>
                <w:sz w:val="24"/>
                <w:szCs w:val="24"/>
                <w:lang w:val="zh-CN"/>
              </w:rPr>
              <w:t>须知正文第</w:t>
            </w:r>
            <w:r>
              <w:rPr>
                <w:rFonts w:hint="eastAsia" w:ascii="宋体" w:hAnsi="宋体" w:cs="宋体"/>
                <w:sz w:val="24"/>
                <w:szCs w:val="24"/>
              </w:rPr>
              <w:t>1.5，且</w:t>
            </w:r>
            <w:r>
              <w:rPr>
                <w:rFonts w:hint="eastAsia" w:ascii="宋体" w:hAnsi="宋体" w:cs="宋体"/>
                <w:spacing w:val="10"/>
                <w:sz w:val="24"/>
                <w:szCs w:val="24"/>
              </w:rPr>
              <w:t>提供《联合协议》。</w:t>
            </w:r>
          </w:p>
        </w:tc>
        <w:tc>
          <w:tcPr>
            <w:tcW w:w="1756" w:type="pct"/>
            <w:tcBorders>
              <w:bottom w:val="single" w:color="auto" w:sz="4" w:space="0"/>
            </w:tcBorders>
            <w:vAlign w:val="center"/>
          </w:tcPr>
          <w:p w14:paraId="46E9A5A5">
            <w:pPr>
              <w:spacing w:line="360" w:lineRule="exact"/>
              <w:rPr>
                <w:rFonts w:ascii="宋体" w:hAnsi="宋体" w:cs="宋体"/>
                <w:sz w:val="24"/>
                <w:szCs w:val="24"/>
              </w:rPr>
            </w:pPr>
            <w:r>
              <w:rPr>
                <w:rFonts w:hint="eastAsia" w:ascii="宋体" w:hAnsi="宋体" w:cs="宋体"/>
                <w:spacing w:val="10"/>
                <w:sz w:val="24"/>
                <w:szCs w:val="24"/>
              </w:rPr>
              <w:t>《联合协议》</w:t>
            </w:r>
            <w:r>
              <w:rPr>
                <w:rFonts w:hint="eastAsia" w:ascii="宋体" w:hAnsi="宋体" w:cs="宋体"/>
                <w:sz w:val="24"/>
              </w:rPr>
              <w:t>详见第六章响应文件格式。</w:t>
            </w:r>
          </w:p>
        </w:tc>
      </w:tr>
      <w:tr w14:paraId="7D8F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05C82A20">
            <w:pPr>
              <w:adjustRightInd w:val="0"/>
              <w:snapToGrid w:val="0"/>
              <w:spacing w:line="360" w:lineRule="exact"/>
              <w:jc w:val="center"/>
              <w:rPr>
                <w:rFonts w:ascii="宋体" w:hAnsi="宋体" w:cs="宋体"/>
                <w:sz w:val="24"/>
              </w:rPr>
            </w:pPr>
            <w:r>
              <w:rPr>
                <w:rFonts w:hint="eastAsia" w:ascii="宋体" w:hAnsi="宋体" w:cs="宋体"/>
                <w:sz w:val="24"/>
              </w:rPr>
              <w:t>5</w:t>
            </w:r>
          </w:p>
        </w:tc>
        <w:tc>
          <w:tcPr>
            <w:tcW w:w="898" w:type="pct"/>
            <w:vAlign w:val="center"/>
          </w:tcPr>
          <w:p w14:paraId="376AAB31">
            <w:pPr>
              <w:spacing w:line="360" w:lineRule="exact"/>
              <w:jc w:val="center"/>
              <w:rPr>
                <w:rFonts w:ascii="宋体" w:hAnsi="宋体" w:cs="宋体"/>
                <w:spacing w:val="10"/>
                <w:sz w:val="24"/>
                <w:szCs w:val="24"/>
              </w:rPr>
            </w:pPr>
            <w:r>
              <w:rPr>
                <w:rFonts w:hint="eastAsia" w:ascii="宋体" w:hAnsi="宋体" w:cs="宋体"/>
                <w:spacing w:val="10"/>
                <w:sz w:val="24"/>
                <w:szCs w:val="24"/>
              </w:rPr>
              <w:t>其他特定资格要求</w:t>
            </w:r>
          </w:p>
        </w:tc>
        <w:tc>
          <w:tcPr>
            <w:tcW w:w="2012" w:type="pct"/>
            <w:vAlign w:val="center"/>
          </w:tcPr>
          <w:p w14:paraId="5F5B3635">
            <w:pPr>
              <w:spacing w:line="360" w:lineRule="exact"/>
              <w:rPr>
                <w:rFonts w:ascii="宋体" w:hAnsi="宋体" w:cs="宋体"/>
                <w:spacing w:val="10"/>
                <w:sz w:val="24"/>
                <w:szCs w:val="24"/>
              </w:rPr>
            </w:pPr>
            <w:r>
              <w:rPr>
                <w:rFonts w:hint="eastAsia" w:ascii="宋体" w:hAnsi="宋体" w:cs="宋体"/>
                <w:spacing w:val="10"/>
                <w:sz w:val="24"/>
                <w:szCs w:val="24"/>
              </w:rPr>
              <w:t>如有，见采购公告</w:t>
            </w:r>
          </w:p>
        </w:tc>
        <w:tc>
          <w:tcPr>
            <w:tcW w:w="1756" w:type="pct"/>
            <w:vAlign w:val="center"/>
          </w:tcPr>
          <w:p w14:paraId="31606663">
            <w:pPr>
              <w:spacing w:line="360" w:lineRule="exact"/>
              <w:rPr>
                <w:rFonts w:ascii="宋体" w:hAnsi="宋体" w:cs="宋体"/>
                <w:spacing w:val="10"/>
                <w:sz w:val="24"/>
                <w:szCs w:val="24"/>
              </w:rPr>
            </w:pPr>
            <w:r>
              <w:rPr>
                <w:rFonts w:hint="eastAsia" w:ascii="宋体" w:hAnsi="宋体" w:cs="宋体"/>
                <w:sz w:val="24"/>
                <w:szCs w:val="24"/>
              </w:rPr>
              <w:t>提供材料扫描件，应完整体现出材料全部内容。</w:t>
            </w:r>
          </w:p>
        </w:tc>
      </w:tr>
      <w:tr w14:paraId="6C7D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50" w:hRule="atLeast"/>
          <w:jc w:val="center"/>
        </w:trPr>
        <w:tc>
          <w:tcPr>
            <w:tcW w:w="5000" w:type="pct"/>
            <w:gridSpan w:val="4"/>
            <w:vAlign w:val="center"/>
          </w:tcPr>
          <w:p w14:paraId="28720DD3">
            <w:pPr>
              <w:spacing w:line="360" w:lineRule="exact"/>
              <w:jc w:val="center"/>
              <w:rPr>
                <w:rFonts w:ascii="宋体" w:hAnsi="宋体" w:cs="宋体"/>
                <w:sz w:val="24"/>
                <w:szCs w:val="24"/>
              </w:rPr>
            </w:pPr>
            <w:r>
              <w:rPr>
                <w:rFonts w:hint="eastAsia" w:ascii="宋体" w:hAnsi="宋体" w:cs="宋体"/>
                <w:b/>
                <w:bCs/>
                <w:sz w:val="24"/>
                <w:szCs w:val="24"/>
              </w:rPr>
              <w:t>符合性评审</w:t>
            </w:r>
          </w:p>
        </w:tc>
      </w:tr>
      <w:tr w14:paraId="0939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jc w:val="center"/>
        </w:trPr>
        <w:tc>
          <w:tcPr>
            <w:tcW w:w="332" w:type="pct"/>
            <w:shd w:val="clear" w:color="auto" w:fill="auto"/>
            <w:vAlign w:val="center"/>
          </w:tcPr>
          <w:p w14:paraId="231A1943">
            <w:pPr>
              <w:adjustRightInd w:val="0"/>
              <w:snapToGrid w:val="0"/>
              <w:spacing w:line="360" w:lineRule="exact"/>
              <w:jc w:val="center"/>
              <w:rPr>
                <w:rFonts w:ascii="宋体" w:hAnsi="宋体" w:cs="宋体"/>
                <w:b/>
                <w:bCs/>
                <w:sz w:val="24"/>
              </w:rPr>
            </w:pPr>
            <w:r>
              <w:rPr>
                <w:rFonts w:hint="eastAsia" w:ascii="宋体" w:hAnsi="宋体" w:cs="宋体"/>
                <w:b/>
                <w:bCs/>
                <w:sz w:val="24"/>
              </w:rPr>
              <w:t>序号</w:t>
            </w:r>
          </w:p>
        </w:tc>
        <w:tc>
          <w:tcPr>
            <w:tcW w:w="898" w:type="pct"/>
            <w:shd w:val="clear" w:color="auto" w:fill="auto"/>
            <w:vAlign w:val="center"/>
          </w:tcPr>
          <w:p w14:paraId="17CD2336">
            <w:pPr>
              <w:pStyle w:val="46"/>
              <w:pBdr>
                <w:bottom w:val="none" w:color="auto" w:sz="0" w:space="0"/>
              </w:pBdr>
              <w:tabs>
                <w:tab w:val="clear" w:pos="4153"/>
                <w:tab w:val="clear" w:pos="8306"/>
              </w:tabs>
              <w:snapToGrid w:val="0"/>
              <w:spacing w:line="360" w:lineRule="exact"/>
              <w:textAlignment w:val="auto"/>
              <w:rPr>
                <w:rFonts w:ascii="宋体" w:hAnsi="宋体" w:cs="宋体"/>
                <w:b/>
                <w:bCs/>
                <w:kern w:val="2"/>
                <w:szCs w:val="24"/>
              </w:rPr>
            </w:pPr>
            <w:r>
              <w:rPr>
                <w:rFonts w:hint="eastAsia" w:ascii="宋体" w:hAnsi="宋体" w:cs="宋体"/>
                <w:b/>
                <w:bCs/>
                <w:kern w:val="2"/>
                <w:szCs w:val="24"/>
              </w:rPr>
              <w:t>审查指标</w:t>
            </w:r>
          </w:p>
        </w:tc>
        <w:tc>
          <w:tcPr>
            <w:tcW w:w="2012" w:type="pct"/>
            <w:shd w:val="clear" w:color="auto" w:fill="auto"/>
            <w:vAlign w:val="center"/>
          </w:tcPr>
          <w:p w14:paraId="411554AF">
            <w:pPr>
              <w:adjustRightInd w:val="0"/>
              <w:snapToGrid w:val="0"/>
              <w:spacing w:line="360" w:lineRule="exact"/>
              <w:jc w:val="center"/>
              <w:rPr>
                <w:rFonts w:ascii="宋体" w:hAnsi="宋体" w:cs="宋体"/>
                <w:b/>
                <w:bCs/>
                <w:sz w:val="24"/>
              </w:rPr>
            </w:pPr>
            <w:r>
              <w:rPr>
                <w:rFonts w:hint="eastAsia" w:ascii="宋体" w:hAnsi="宋体" w:cs="宋体"/>
                <w:b/>
                <w:bCs/>
                <w:sz w:val="24"/>
              </w:rPr>
              <w:t>审查标准</w:t>
            </w:r>
          </w:p>
        </w:tc>
        <w:tc>
          <w:tcPr>
            <w:tcW w:w="1756" w:type="pct"/>
            <w:shd w:val="clear" w:color="auto" w:fill="auto"/>
            <w:vAlign w:val="center"/>
          </w:tcPr>
          <w:p w14:paraId="6BA3FED6">
            <w:pPr>
              <w:adjustRightInd w:val="0"/>
              <w:snapToGrid w:val="0"/>
              <w:spacing w:line="360" w:lineRule="exact"/>
              <w:jc w:val="center"/>
              <w:rPr>
                <w:rFonts w:ascii="宋体" w:hAnsi="宋体" w:cs="宋体"/>
                <w:b/>
                <w:bCs/>
                <w:sz w:val="24"/>
              </w:rPr>
            </w:pPr>
            <w:r>
              <w:rPr>
                <w:rFonts w:hint="eastAsia" w:ascii="宋体" w:hAnsi="宋体" w:cs="宋体"/>
                <w:b/>
                <w:bCs/>
                <w:sz w:val="24"/>
              </w:rPr>
              <w:t>格式要求</w:t>
            </w:r>
          </w:p>
        </w:tc>
      </w:tr>
      <w:tr w14:paraId="6537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34EAAAFB">
            <w:pPr>
              <w:adjustRightInd w:val="0"/>
              <w:snapToGrid w:val="0"/>
              <w:spacing w:line="360" w:lineRule="exact"/>
              <w:jc w:val="center"/>
              <w:rPr>
                <w:rFonts w:ascii="宋体" w:hAnsi="宋体" w:cs="宋体"/>
                <w:sz w:val="24"/>
              </w:rPr>
            </w:pPr>
            <w:r>
              <w:rPr>
                <w:rFonts w:hint="eastAsia" w:ascii="宋体" w:hAnsi="宋体" w:cs="宋体"/>
                <w:sz w:val="24"/>
              </w:rPr>
              <w:t>9</w:t>
            </w:r>
          </w:p>
        </w:tc>
        <w:tc>
          <w:tcPr>
            <w:tcW w:w="898" w:type="pct"/>
            <w:vAlign w:val="center"/>
          </w:tcPr>
          <w:p w14:paraId="103E06EA">
            <w:pPr>
              <w:spacing w:line="360" w:lineRule="exact"/>
              <w:jc w:val="center"/>
              <w:rPr>
                <w:rFonts w:ascii="宋体" w:hAnsi="宋体" w:cs="宋体"/>
                <w:sz w:val="24"/>
                <w:szCs w:val="28"/>
              </w:rPr>
            </w:pPr>
            <w:r>
              <w:rPr>
                <w:rFonts w:hint="eastAsia" w:ascii="宋体" w:hAnsi="宋体" w:cs="宋体"/>
                <w:sz w:val="24"/>
                <w:szCs w:val="28"/>
              </w:rPr>
              <w:t>响应函</w:t>
            </w:r>
          </w:p>
        </w:tc>
        <w:tc>
          <w:tcPr>
            <w:tcW w:w="2012" w:type="pct"/>
            <w:vAlign w:val="center"/>
          </w:tcPr>
          <w:p w14:paraId="2E34C243">
            <w:pPr>
              <w:spacing w:line="360" w:lineRule="exact"/>
              <w:rPr>
                <w:rFonts w:ascii="宋体" w:hAnsi="宋体" w:cs="宋体"/>
                <w:sz w:val="24"/>
                <w:szCs w:val="28"/>
              </w:rPr>
            </w:pPr>
            <w:r>
              <w:rPr>
                <w:rFonts w:hint="eastAsia" w:ascii="宋体" w:hAnsi="宋体" w:cs="宋体"/>
                <w:sz w:val="24"/>
                <w:szCs w:val="28"/>
              </w:rPr>
              <w:t>格式、填写要求符合发包文件规定并加盖供应商公章</w:t>
            </w:r>
          </w:p>
        </w:tc>
        <w:tc>
          <w:tcPr>
            <w:tcW w:w="1756" w:type="pct"/>
            <w:vAlign w:val="center"/>
          </w:tcPr>
          <w:p w14:paraId="4903DD91">
            <w:pPr>
              <w:adjustRightInd w:val="0"/>
              <w:snapToGrid w:val="0"/>
              <w:spacing w:line="360" w:lineRule="exact"/>
              <w:rPr>
                <w:rFonts w:ascii="宋体" w:hAnsi="宋体" w:cs="宋体"/>
                <w:sz w:val="24"/>
              </w:rPr>
            </w:pPr>
            <w:r>
              <w:rPr>
                <w:rFonts w:hint="eastAsia" w:ascii="宋体" w:hAnsi="宋体" w:cs="宋体"/>
                <w:sz w:val="24"/>
              </w:rPr>
              <w:t>详见第六章响应文件格式。</w:t>
            </w:r>
          </w:p>
        </w:tc>
      </w:tr>
      <w:tr w14:paraId="55F6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0F4D976D">
            <w:pPr>
              <w:adjustRightInd w:val="0"/>
              <w:snapToGrid w:val="0"/>
              <w:spacing w:line="360" w:lineRule="exact"/>
              <w:jc w:val="center"/>
              <w:rPr>
                <w:rFonts w:ascii="宋体" w:hAnsi="宋体" w:cs="宋体"/>
                <w:sz w:val="24"/>
              </w:rPr>
            </w:pPr>
            <w:r>
              <w:rPr>
                <w:rFonts w:hint="eastAsia" w:ascii="宋体" w:hAnsi="宋体" w:cs="宋体"/>
                <w:sz w:val="24"/>
              </w:rPr>
              <w:t>10</w:t>
            </w:r>
          </w:p>
        </w:tc>
        <w:tc>
          <w:tcPr>
            <w:tcW w:w="898" w:type="pct"/>
            <w:vAlign w:val="center"/>
          </w:tcPr>
          <w:p w14:paraId="25E10842">
            <w:pPr>
              <w:spacing w:line="360" w:lineRule="exact"/>
              <w:jc w:val="center"/>
              <w:rPr>
                <w:rFonts w:ascii="宋体" w:hAnsi="宋体" w:cs="宋体"/>
                <w:spacing w:val="10"/>
                <w:sz w:val="24"/>
                <w:szCs w:val="24"/>
              </w:rPr>
            </w:pPr>
            <w:r>
              <w:rPr>
                <w:rFonts w:hint="eastAsia" w:ascii="宋体" w:hAnsi="宋体" w:cs="宋体"/>
                <w:sz w:val="24"/>
                <w:szCs w:val="28"/>
              </w:rPr>
              <w:t>授权书</w:t>
            </w:r>
          </w:p>
        </w:tc>
        <w:tc>
          <w:tcPr>
            <w:tcW w:w="2012" w:type="pct"/>
            <w:vAlign w:val="center"/>
          </w:tcPr>
          <w:p w14:paraId="51D12922">
            <w:pPr>
              <w:spacing w:line="360" w:lineRule="exact"/>
              <w:rPr>
                <w:rFonts w:ascii="宋体" w:hAnsi="宋体" w:cs="宋体"/>
                <w:spacing w:val="10"/>
                <w:sz w:val="24"/>
                <w:szCs w:val="24"/>
              </w:rPr>
            </w:pPr>
            <w:r>
              <w:rPr>
                <w:rFonts w:hint="eastAsia" w:ascii="宋体" w:hAnsi="宋体" w:cs="宋体"/>
                <w:sz w:val="24"/>
                <w:szCs w:val="28"/>
              </w:rPr>
              <w:t>格式、填写要求符合</w:t>
            </w:r>
            <w:r>
              <w:rPr>
                <w:rFonts w:hint="eastAsia" w:ascii="宋体" w:hAnsi="宋体" w:cs="宋体"/>
                <w:spacing w:val="10"/>
                <w:sz w:val="24"/>
                <w:szCs w:val="24"/>
              </w:rPr>
              <w:t>发包文件</w:t>
            </w:r>
            <w:r>
              <w:rPr>
                <w:rFonts w:hint="eastAsia" w:ascii="宋体" w:hAnsi="宋体" w:cs="宋体"/>
                <w:sz w:val="24"/>
                <w:szCs w:val="28"/>
              </w:rPr>
              <w:t>规定并加盖</w:t>
            </w:r>
            <w:r>
              <w:rPr>
                <w:rFonts w:hint="eastAsia" w:ascii="宋体" w:hAnsi="宋体" w:cs="宋体"/>
                <w:sz w:val="24"/>
              </w:rPr>
              <w:t>供应商</w:t>
            </w:r>
            <w:r>
              <w:rPr>
                <w:rFonts w:hint="eastAsia" w:ascii="宋体" w:hAnsi="宋体" w:cs="宋体"/>
                <w:sz w:val="24"/>
                <w:szCs w:val="28"/>
              </w:rPr>
              <w:t>公章</w:t>
            </w:r>
          </w:p>
        </w:tc>
        <w:tc>
          <w:tcPr>
            <w:tcW w:w="1756" w:type="pct"/>
            <w:vAlign w:val="center"/>
          </w:tcPr>
          <w:p w14:paraId="755678BB">
            <w:pPr>
              <w:adjustRightInd w:val="0"/>
              <w:snapToGrid w:val="0"/>
              <w:spacing w:line="360" w:lineRule="exact"/>
              <w:rPr>
                <w:rFonts w:ascii="宋体" w:hAnsi="宋体" w:cs="宋体"/>
                <w:sz w:val="24"/>
                <w:szCs w:val="24"/>
              </w:rPr>
            </w:pPr>
            <w:r>
              <w:rPr>
                <w:rFonts w:hint="eastAsia" w:ascii="宋体" w:hAnsi="宋体" w:cs="宋体"/>
                <w:sz w:val="24"/>
              </w:rPr>
              <w:t>法定代表人参加评审 的无需此件，提供身份证明即可。详见第六章响应文件格式。</w:t>
            </w:r>
          </w:p>
        </w:tc>
      </w:tr>
      <w:tr w14:paraId="2AD6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6341D058">
            <w:pPr>
              <w:adjustRightInd w:val="0"/>
              <w:snapToGrid w:val="0"/>
              <w:spacing w:line="360" w:lineRule="exact"/>
              <w:jc w:val="center"/>
              <w:rPr>
                <w:rFonts w:ascii="宋体" w:hAnsi="宋体" w:cs="宋体"/>
                <w:sz w:val="24"/>
              </w:rPr>
            </w:pPr>
            <w:r>
              <w:rPr>
                <w:rFonts w:hint="eastAsia" w:ascii="宋体" w:hAnsi="宋体" w:cs="宋体"/>
                <w:sz w:val="24"/>
              </w:rPr>
              <w:t>11</w:t>
            </w:r>
          </w:p>
        </w:tc>
        <w:tc>
          <w:tcPr>
            <w:tcW w:w="898" w:type="pct"/>
            <w:vAlign w:val="center"/>
          </w:tcPr>
          <w:p w14:paraId="4B4DCF5E">
            <w:pPr>
              <w:spacing w:line="360" w:lineRule="exact"/>
              <w:jc w:val="center"/>
              <w:rPr>
                <w:rFonts w:ascii="宋体" w:hAnsi="宋体" w:cs="宋体"/>
                <w:spacing w:val="10"/>
                <w:sz w:val="24"/>
                <w:szCs w:val="24"/>
              </w:rPr>
            </w:pPr>
            <w:r>
              <w:rPr>
                <w:rFonts w:hint="eastAsia" w:ascii="宋体" w:hAnsi="宋体" w:cs="宋体"/>
                <w:sz w:val="24"/>
                <w:szCs w:val="28"/>
              </w:rPr>
              <w:t>响应报价</w:t>
            </w:r>
          </w:p>
        </w:tc>
        <w:tc>
          <w:tcPr>
            <w:tcW w:w="2012" w:type="pct"/>
            <w:vAlign w:val="center"/>
          </w:tcPr>
          <w:p w14:paraId="56540584">
            <w:pPr>
              <w:spacing w:line="360" w:lineRule="exact"/>
              <w:rPr>
                <w:rFonts w:ascii="宋体" w:hAnsi="宋体" w:cs="宋体"/>
                <w:spacing w:val="10"/>
                <w:sz w:val="24"/>
                <w:szCs w:val="24"/>
              </w:rPr>
            </w:pPr>
            <w:r>
              <w:rPr>
                <w:rFonts w:hint="eastAsia" w:ascii="宋体" w:hAnsi="宋体" w:cs="宋体"/>
                <w:sz w:val="24"/>
                <w:szCs w:val="28"/>
              </w:rPr>
              <w:t>符合</w:t>
            </w:r>
            <w:r>
              <w:rPr>
                <w:rFonts w:hint="eastAsia" w:ascii="宋体" w:hAnsi="宋体" w:cs="宋体"/>
                <w:spacing w:val="10"/>
                <w:sz w:val="24"/>
                <w:szCs w:val="24"/>
              </w:rPr>
              <w:t>发包文件</w:t>
            </w:r>
            <w:r>
              <w:rPr>
                <w:rFonts w:hint="eastAsia" w:ascii="宋体" w:hAnsi="宋体" w:cs="宋体"/>
                <w:sz w:val="24"/>
              </w:rPr>
              <w:t>供应商须知正文第9条要求</w:t>
            </w:r>
          </w:p>
        </w:tc>
        <w:tc>
          <w:tcPr>
            <w:tcW w:w="1756" w:type="pct"/>
            <w:vAlign w:val="center"/>
          </w:tcPr>
          <w:p w14:paraId="6401A957">
            <w:pPr>
              <w:adjustRightInd w:val="0"/>
              <w:snapToGrid w:val="0"/>
              <w:spacing w:line="360" w:lineRule="exact"/>
              <w:rPr>
                <w:rFonts w:ascii="宋体" w:hAnsi="宋体" w:cs="宋体"/>
                <w:sz w:val="24"/>
                <w:szCs w:val="24"/>
              </w:rPr>
            </w:pPr>
            <w:r>
              <w:rPr>
                <w:rFonts w:hint="eastAsia" w:ascii="宋体" w:hAnsi="宋体" w:cs="宋体"/>
                <w:sz w:val="24"/>
              </w:rPr>
              <w:t>详见第六章响应文件格式。</w:t>
            </w:r>
          </w:p>
        </w:tc>
      </w:tr>
      <w:tr w14:paraId="4715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7154A5B6">
            <w:pPr>
              <w:adjustRightInd w:val="0"/>
              <w:snapToGrid w:val="0"/>
              <w:spacing w:line="360" w:lineRule="exact"/>
              <w:jc w:val="center"/>
              <w:rPr>
                <w:rFonts w:ascii="宋体" w:hAnsi="宋体" w:cs="宋体"/>
                <w:sz w:val="24"/>
              </w:rPr>
            </w:pPr>
            <w:r>
              <w:rPr>
                <w:rFonts w:hint="eastAsia" w:ascii="宋体" w:hAnsi="宋体" w:cs="宋体"/>
                <w:sz w:val="24"/>
              </w:rPr>
              <w:t>12</w:t>
            </w:r>
          </w:p>
        </w:tc>
        <w:tc>
          <w:tcPr>
            <w:tcW w:w="898" w:type="pct"/>
            <w:vAlign w:val="center"/>
          </w:tcPr>
          <w:p w14:paraId="7970D501">
            <w:pPr>
              <w:spacing w:line="360" w:lineRule="exact"/>
              <w:jc w:val="center"/>
              <w:rPr>
                <w:rFonts w:ascii="宋体" w:hAnsi="宋体" w:cs="宋体"/>
                <w:spacing w:val="10"/>
                <w:sz w:val="24"/>
                <w:szCs w:val="24"/>
              </w:rPr>
            </w:pPr>
            <w:r>
              <w:rPr>
                <w:rFonts w:hint="eastAsia" w:ascii="宋体" w:hAnsi="宋体" w:cs="宋体"/>
                <w:sz w:val="24"/>
                <w:szCs w:val="28"/>
              </w:rPr>
              <w:t>商务响应情况</w:t>
            </w:r>
          </w:p>
        </w:tc>
        <w:tc>
          <w:tcPr>
            <w:tcW w:w="2012" w:type="pct"/>
            <w:vAlign w:val="center"/>
          </w:tcPr>
          <w:p w14:paraId="7DE479B7">
            <w:pPr>
              <w:spacing w:line="360" w:lineRule="exact"/>
              <w:rPr>
                <w:rFonts w:ascii="宋体" w:hAnsi="宋体" w:cs="宋体"/>
                <w:spacing w:val="10"/>
                <w:sz w:val="24"/>
                <w:szCs w:val="24"/>
              </w:rPr>
            </w:pPr>
            <w:r>
              <w:rPr>
                <w:rFonts w:hint="eastAsia" w:ascii="宋体" w:hAnsi="宋体" w:cs="宋体"/>
                <w:sz w:val="24"/>
                <w:szCs w:val="28"/>
              </w:rPr>
              <w:t>符合</w:t>
            </w:r>
            <w:r>
              <w:rPr>
                <w:rFonts w:hint="eastAsia" w:ascii="宋体" w:hAnsi="宋体" w:cs="宋体"/>
                <w:spacing w:val="10"/>
                <w:sz w:val="24"/>
                <w:szCs w:val="24"/>
              </w:rPr>
              <w:t>发包文件</w:t>
            </w:r>
            <w:r>
              <w:rPr>
                <w:rFonts w:hint="eastAsia" w:ascii="宋体" w:hAnsi="宋体" w:cs="宋体"/>
                <w:sz w:val="24"/>
                <w:szCs w:val="28"/>
              </w:rPr>
              <w:t>采购需求中对付款方式、服务地点、服务期限等实质性要求</w:t>
            </w:r>
          </w:p>
        </w:tc>
        <w:tc>
          <w:tcPr>
            <w:tcW w:w="1756" w:type="pct"/>
            <w:vAlign w:val="center"/>
          </w:tcPr>
          <w:p w14:paraId="68319B06">
            <w:pPr>
              <w:adjustRightInd w:val="0"/>
              <w:snapToGrid w:val="0"/>
              <w:spacing w:line="360" w:lineRule="exact"/>
              <w:rPr>
                <w:rFonts w:ascii="宋体" w:hAnsi="宋体" w:cs="宋体"/>
                <w:sz w:val="24"/>
                <w:szCs w:val="24"/>
              </w:rPr>
            </w:pPr>
            <w:r>
              <w:rPr>
                <w:rFonts w:hint="eastAsia" w:ascii="宋体" w:hAnsi="宋体" w:cs="宋体"/>
                <w:sz w:val="24"/>
              </w:rPr>
              <w:t>详见第六章响应文件格式。</w:t>
            </w:r>
          </w:p>
        </w:tc>
      </w:tr>
      <w:tr w14:paraId="2D73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33" w:hRule="atLeast"/>
          <w:jc w:val="center"/>
        </w:trPr>
        <w:tc>
          <w:tcPr>
            <w:tcW w:w="332" w:type="pct"/>
            <w:vAlign w:val="center"/>
          </w:tcPr>
          <w:p w14:paraId="773FF691">
            <w:pPr>
              <w:adjustRightInd w:val="0"/>
              <w:snapToGrid w:val="0"/>
              <w:spacing w:line="360" w:lineRule="exact"/>
              <w:jc w:val="center"/>
              <w:rPr>
                <w:rFonts w:ascii="宋体" w:hAnsi="宋体" w:cs="宋体"/>
                <w:sz w:val="24"/>
              </w:rPr>
            </w:pPr>
            <w:r>
              <w:rPr>
                <w:rFonts w:hint="eastAsia" w:ascii="宋体" w:hAnsi="宋体" w:cs="宋体"/>
                <w:sz w:val="24"/>
              </w:rPr>
              <w:t>13</w:t>
            </w:r>
          </w:p>
        </w:tc>
        <w:tc>
          <w:tcPr>
            <w:tcW w:w="898" w:type="pct"/>
            <w:vAlign w:val="center"/>
          </w:tcPr>
          <w:p w14:paraId="45B2594F">
            <w:pPr>
              <w:spacing w:line="360" w:lineRule="exact"/>
              <w:jc w:val="center"/>
              <w:outlineLvl w:val="2"/>
              <w:rPr>
                <w:rFonts w:ascii="宋体" w:hAnsi="宋体" w:cs="宋体"/>
                <w:spacing w:val="10"/>
                <w:sz w:val="24"/>
                <w:szCs w:val="24"/>
              </w:rPr>
            </w:pPr>
            <w:r>
              <w:rPr>
                <w:rFonts w:hint="eastAsia" w:ascii="宋体" w:hAnsi="宋体" w:cs="宋体"/>
                <w:sz w:val="24"/>
                <w:szCs w:val="28"/>
              </w:rPr>
              <w:t>技术响应情况</w:t>
            </w:r>
          </w:p>
        </w:tc>
        <w:tc>
          <w:tcPr>
            <w:tcW w:w="2012" w:type="pct"/>
            <w:vAlign w:val="center"/>
          </w:tcPr>
          <w:p w14:paraId="2D3988B7">
            <w:pPr>
              <w:spacing w:line="360" w:lineRule="exact"/>
              <w:rPr>
                <w:rFonts w:ascii="宋体" w:hAnsi="宋体" w:cs="宋体"/>
                <w:spacing w:val="10"/>
                <w:sz w:val="24"/>
                <w:szCs w:val="24"/>
              </w:rPr>
            </w:pPr>
            <w:r>
              <w:rPr>
                <w:rFonts w:hint="eastAsia" w:ascii="宋体" w:hAnsi="宋体" w:cs="宋体"/>
                <w:spacing w:val="10"/>
                <w:sz w:val="24"/>
                <w:szCs w:val="24"/>
              </w:rPr>
              <w:t>符合发包文件采购需求中实质性响应技术参数要求</w:t>
            </w:r>
          </w:p>
        </w:tc>
        <w:tc>
          <w:tcPr>
            <w:tcW w:w="1756" w:type="pct"/>
            <w:vAlign w:val="center"/>
          </w:tcPr>
          <w:p w14:paraId="068C514B">
            <w:pPr>
              <w:adjustRightInd w:val="0"/>
              <w:snapToGrid w:val="0"/>
              <w:spacing w:line="360" w:lineRule="exact"/>
              <w:rPr>
                <w:rFonts w:ascii="宋体" w:hAnsi="宋体" w:cs="宋体"/>
                <w:sz w:val="24"/>
                <w:szCs w:val="24"/>
              </w:rPr>
            </w:pPr>
            <w:r>
              <w:rPr>
                <w:rFonts w:hint="eastAsia" w:ascii="宋体" w:hAnsi="宋体" w:cs="宋体"/>
                <w:sz w:val="24"/>
              </w:rPr>
              <w:t>详见第六章响应文件格式。</w:t>
            </w:r>
          </w:p>
        </w:tc>
      </w:tr>
      <w:tr w14:paraId="6B30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vAlign w:val="center"/>
          </w:tcPr>
          <w:p w14:paraId="3F7066B7">
            <w:pPr>
              <w:adjustRightInd w:val="0"/>
              <w:snapToGrid w:val="0"/>
              <w:spacing w:line="360" w:lineRule="exact"/>
              <w:jc w:val="center"/>
              <w:rPr>
                <w:rFonts w:ascii="宋体" w:hAnsi="宋体" w:cs="宋体"/>
                <w:sz w:val="24"/>
              </w:rPr>
            </w:pPr>
            <w:r>
              <w:rPr>
                <w:rFonts w:hint="eastAsia" w:ascii="宋体" w:hAnsi="宋体" w:cs="宋体"/>
                <w:sz w:val="24"/>
              </w:rPr>
              <w:t>14</w:t>
            </w:r>
          </w:p>
        </w:tc>
        <w:tc>
          <w:tcPr>
            <w:tcW w:w="898" w:type="pct"/>
            <w:vAlign w:val="center"/>
          </w:tcPr>
          <w:p w14:paraId="77E6167E">
            <w:pPr>
              <w:spacing w:line="360" w:lineRule="exact"/>
              <w:jc w:val="center"/>
              <w:rPr>
                <w:rFonts w:ascii="宋体" w:hAnsi="宋体" w:cs="宋体"/>
                <w:spacing w:val="10"/>
                <w:sz w:val="24"/>
                <w:szCs w:val="24"/>
              </w:rPr>
            </w:pPr>
            <w:r>
              <w:rPr>
                <w:rFonts w:hint="eastAsia" w:ascii="宋体" w:hAnsi="宋体" w:cs="宋体"/>
                <w:sz w:val="24"/>
                <w:szCs w:val="28"/>
              </w:rPr>
              <w:t>其他要求</w:t>
            </w:r>
          </w:p>
        </w:tc>
        <w:tc>
          <w:tcPr>
            <w:tcW w:w="2012" w:type="pct"/>
            <w:vAlign w:val="center"/>
          </w:tcPr>
          <w:p w14:paraId="554C6ADA">
            <w:pPr>
              <w:spacing w:line="360" w:lineRule="exact"/>
              <w:rPr>
                <w:rFonts w:ascii="宋体" w:hAnsi="宋体" w:cs="宋体"/>
                <w:spacing w:val="10"/>
                <w:sz w:val="24"/>
                <w:szCs w:val="24"/>
              </w:rPr>
            </w:pPr>
            <w:r>
              <w:rPr>
                <w:rFonts w:hint="eastAsia" w:ascii="宋体" w:hAnsi="宋体" w:cs="宋体"/>
                <w:sz w:val="24"/>
                <w:szCs w:val="28"/>
              </w:rPr>
              <w:t>符合法律、行政法规规定的其他条件或发包文件列明的其他实质性要求</w:t>
            </w:r>
          </w:p>
        </w:tc>
        <w:tc>
          <w:tcPr>
            <w:tcW w:w="1756" w:type="pct"/>
            <w:vAlign w:val="center"/>
          </w:tcPr>
          <w:p w14:paraId="0D30EC18">
            <w:pPr>
              <w:adjustRightInd w:val="0"/>
              <w:snapToGrid w:val="0"/>
              <w:spacing w:line="360" w:lineRule="exact"/>
              <w:rPr>
                <w:rFonts w:ascii="宋体" w:hAnsi="宋体" w:cs="宋体"/>
                <w:sz w:val="24"/>
                <w:szCs w:val="24"/>
              </w:rPr>
            </w:pPr>
          </w:p>
        </w:tc>
      </w:tr>
    </w:tbl>
    <w:p w14:paraId="625DE7BC">
      <w:pPr>
        <w:spacing w:line="360" w:lineRule="auto"/>
        <w:ind w:firstLine="435"/>
        <w:rPr>
          <w:rFonts w:ascii="宋体" w:hAnsi="宋体" w:cs="宋体"/>
          <w:sz w:val="24"/>
        </w:rPr>
      </w:pPr>
      <w:r>
        <w:rPr>
          <w:rFonts w:hint="eastAsia" w:ascii="宋体" w:hAnsi="宋体" w:cs="宋体"/>
          <w:b/>
          <w:bCs/>
          <w:sz w:val="24"/>
        </w:rPr>
        <w:t>初审指标通过标准：</w:t>
      </w:r>
      <w:r>
        <w:rPr>
          <w:rFonts w:hint="eastAsia" w:ascii="宋体" w:hAnsi="宋体" w:cs="宋体"/>
          <w:sz w:val="24"/>
        </w:rPr>
        <w:t>供应商必须通过初审表中的全部评审指标。</w:t>
      </w:r>
    </w:p>
    <w:p w14:paraId="36582AAA">
      <w:pPr>
        <w:spacing w:line="360" w:lineRule="auto"/>
        <w:ind w:firstLine="435"/>
        <w:outlineLvl w:val="2"/>
        <w:rPr>
          <w:rFonts w:ascii="宋体" w:hAnsi="宋体" w:cs="宋体"/>
          <w:b/>
          <w:sz w:val="24"/>
        </w:rPr>
      </w:pPr>
    </w:p>
    <w:p w14:paraId="2840DDA5">
      <w:pPr>
        <w:spacing w:line="360" w:lineRule="auto"/>
        <w:ind w:firstLine="435"/>
        <w:outlineLvl w:val="2"/>
        <w:rPr>
          <w:rFonts w:ascii="宋体" w:hAnsi="宋体" w:cs="宋体"/>
          <w:b/>
          <w:sz w:val="24"/>
        </w:rPr>
      </w:pPr>
      <w:r>
        <w:rPr>
          <w:rFonts w:hint="eastAsia" w:ascii="宋体" w:hAnsi="宋体" w:cs="宋体"/>
          <w:b/>
          <w:sz w:val="24"/>
        </w:rPr>
        <w:t>2.2综合评分</w:t>
      </w:r>
    </w:p>
    <w:p w14:paraId="00515DD0">
      <w:pPr>
        <w:spacing w:line="360" w:lineRule="auto"/>
        <w:ind w:firstLine="435"/>
        <w:rPr>
          <w:rFonts w:ascii="宋体" w:hAnsi="宋体" w:cs="宋体"/>
          <w:sz w:val="24"/>
        </w:rPr>
      </w:pPr>
      <w:r>
        <w:rPr>
          <w:rFonts w:hint="eastAsia" w:ascii="宋体" w:hAnsi="宋体" w:cs="宋体"/>
          <w:sz w:val="24"/>
        </w:rPr>
        <w:t>2.2.1评审小组按照下表对进入综合评分的所有供应商的响应文件进行综合评分。</w:t>
      </w:r>
    </w:p>
    <w:p w14:paraId="17D63601">
      <w:pPr>
        <w:spacing w:line="360" w:lineRule="auto"/>
        <w:ind w:firstLine="435"/>
        <w:rPr>
          <w:rFonts w:ascii="宋体" w:hAnsi="宋体" w:cs="宋体"/>
        </w:rPr>
      </w:pPr>
      <w:r>
        <w:rPr>
          <w:rFonts w:hint="eastAsia" w:ascii="宋体" w:hAnsi="宋体" w:cs="宋体"/>
          <w:sz w:val="24"/>
        </w:rPr>
        <w:t>2.2.2本项目综合评分满分为100分，其中：技术资信分值占总分值的权重为</w:t>
      </w:r>
      <w:r>
        <w:rPr>
          <w:rFonts w:hint="eastAsia" w:ascii="宋体" w:hAnsi="宋体" w:cs="宋体"/>
          <w:sz w:val="24"/>
          <w:u w:val="single"/>
        </w:rPr>
        <w:t>70</w:t>
      </w:r>
      <w:r>
        <w:rPr>
          <w:rFonts w:hint="eastAsia" w:ascii="宋体" w:hAnsi="宋体" w:cs="宋体"/>
          <w:sz w:val="24"/>
        </w:rPr>
        <w:t>%，价格分值占总分值的权重为</w:t>
      </w:r>
      <w:r>
        <w:rPr>
          <w:rFonts w:hint="eastAsia" w:ascii="宋体" w:hAnsi="宋体" w:cs="宋体"/>
          <w:sz w:val="24"/>
          <w:u w:val="single"/>
        </w:rPr>
        <w:t>30</w:t>
      </w:r>
      <w:r>
        <w:rPr>
          <w:rFonts w:hint="eastAsia" w:ascii="宋体" w:hAnsi="宋体" w:cs="宋体"/>
          <w:sz w:val="24"/>
        </w:rPr>
        <w:t>%。具体评分细则如下：</w:t>
      </w:r>
    </w:p>
    <w:tbl>
      <w:tblPr>
        <w:tblStyle w:val="24"/>
        <w:tblW w:w="9487" w:type="dxa"/>
        <w:jc w:val="center"/>
        <w:tblLayout w:type="fixed"/>
        <w:tblCellMar>
          <w:top w:w="28" w:type="dxa"/>
          <w:left w:w="51" w:type="dxa"/>
          <w:bottom w:w="28" w:type="dxa"/>
          <w:right w:w="51" w:type="dxa"/>
        </w:tblCellMar>
      </w:tblPr>
      <w:tblGrid>
        <w:gridCol w:w="1031"/>
        <w:gridCol w:w="1134"/>
        <w:gridCol w:w="6461"/>
        <w:gridCol w:w="861"/>
      </w:tblGrid>
      <w:tr w14:paraId="46F217FC">
        <w:tblPrEx>
          <w:tblCellMar>
            <w:top w:w="28" w:type="dxa"/>
            <w:left w:w="51" w:type="dxa"/>
            <w:bottom w:w="28" w:type="dxa"/>
            <w:right w:w="51" w:type="dxa"/>
          </w:tblCellMar>
        </w:tblPrEx>
        <w:trPr>
          <w:trHeight w:val="789" w:hRule="atLeast"/>
          <w:jc w:val="center"/>
        </w:trPr>
        <w:tc>
          <w:tcPr>
            <w:tcW w:w="103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2729E387">
            <w:pPr>
              <w:jc w:val="center"/>
              <w:rPr>
                <w:rFonts w:cs="Times New Roman"/>
                <w:color w:val="000000"/>
              </w:rPr>
            </w:pPr>
            <w:r>
              <w:rPr>
                <w:rFonts w:ascii="宋体" w:hAnsi="宋体" w:cs="宋体"/>
                <w:b/>
                <w:bCs/>
                <w:color w:val="000000"/>
                <w:szCs w:val="24"/>
              </w:rPr>
              <w:t>类别</w:t>
            </w: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028C0D38">
            <w:pPr>
              <w:jc w:val="center"/>
              <w:rPr>
                <w:rFonts w:cs="Times New Roman"/>
                <w:color w:val="000000"/>
              </w:rPr>
            </w:pPr>
            <w:r>
              <w:rPr>
                <w:rFonts w:ascii="宋体" w:hAnsi="宋体" w:cs="宋体"/>
                <w:b/>
                <w:bCs/>
                <w:color w:val="000000"/>
                <w:szCs w:val="24"/>
              </w:rPr>
              <w:t>评分内容</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43408DC2">
            <w:pPr>
              <w:jc w:val="center"/>
              <w:rPr>
                <w:rFonts w:cs="Times New Roman"/>
                <w:color w:val="000000"/>
              </w:rPr>
            </w:pPr>
            <w:r>
              <w:rPr>
                <w:rFonts w:ascii="宋体" w:hAnsi="宋体" w:cs="宋体"/>
                <w:b/>
                <w:bCs/>
                <w:color w:val="000000"/>
                <w:szCs w:val="24"/>
              </w:rPr>
              <w:t>评分标准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8BD7DA4">
            <w:pPr>
              <w:jc w:val="center"/>
              <w:rPr>
                <w:rFonts w:cs="Times New Roman"/>
                <w:color w:val="000000"/>
              </w:rPr>
            </w:pPr>
            <w:r>
              <w:rPr>
                <w:rFonts w:ascii="宋体" w:hAnsi="宋体" w:cs="宋体"/>
                <w:b/>
                <w:bCs/>
                <w:color w:val="000000"/>
                <w:szCs w:val="24"/>
              </w:rPr>
              <w:t>分值范围</w:t>
            </w:r>
          </w:p>
        </w:tc>
      </w:tr>
      <w:tr w14:paraId="3CEA0199">
        <w:tblPrEx>
          <w:tblCellMar>
            <w:top w:w="28" w:type="dxa"/>
            <w:left w:w="51" w:type="dxa"/>
            <w:bottom w:w="28" w:type="dxa"/>
            <w:right w:w="51" w:type="dxa"/>
          </w:tblCellMar>
        </w:tblPrEx>
        <w:trPr>
          <w:trHeight w:val="824" w:hRule="atLeast"/>
          <w:jc w:val="center"/>
        </w:trPr>
        <w:tc>
          <w:tcPr>
            <w:tcW w:w="1031" w:type="dxa"/>
            <w:vMerge w:val="restart"/>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0B876D49">
            <w:pPr>
              <w:jc w:val="left"/>
              <w:rPr>
                <w:rFonts w:cs="Times New Roman"/>
                <w:color w:val="000000"/>
              </w:rPr>
            </w:pPr>
            <w:r>
              <w:rPr>
                <w:rFonts w:ascii="宋体" w:hAnsi="宋体" w:cs="宋体"/>
                <w:b/>
                <w:bCs/>
                <w:color w:val="000000"/>
                <w:szCs w:val="24"/>
                <w:lang w:val="zh-CN"/>
              </w:rPr>
              <w:t>技术标（</w:t>
            </w:r>
            <w:r>
              <w:rPr>
                <w:rFonts w:ascii="宋体" w:hAnsi="宋体" w:cs="宋体"/>
                <w:b/>
                <w:bCs/>
                <w:color w:val="000000"/>
                <w:szCs w:val="24"/>
                <w:u w:val="single"/>
              </w:rPr>
              <w:t>7</w:t>
            </w:r>
            <w:r>
              <w:rPr>
                <w:rFonts w:ascii="宋体" w:hAnsi="宋体" w:cs="宋体"/>
                <w:b/>
                <w:bCs/>
                <w:color w:val="000000"/>
                <w:szCs w:val="24"/>
                <w:u w:val="single"/>
                <w:lang w:val="zh-CN"/>
              </w:rPr>
              <w:t>0</w:t>
            </w:r>
            <w:r>
              <w:rPr>
                <w:rFonts w:ascii="宋体" w:hAnsi="宋体" w:cs="宋体"/>
                <w:b/>
                <w:bCs/>
                <w:color w:val="000000"/>
                <w:szCs w:val="24"/>
                <w:lang w:val="zh-CN"/>
              </w:rPr>
              <w:t>分）</w:t>
            </w: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4775686A">
            <w:pPr>
              <w:widowControl/>
              <w:spacing w:line="360" w:lineRule="auto"/>
              <w:jc w:val="center"/>
              <w:rPr>
                <w:rFonts w:cs="Times New Roman"/>
                <w:color w:val="000000"/>
              </w:rPr>
            </w:pPr>
            <w:r>
              <w:rPr>
                <w:rFonts w:cs="Times New Roman"/>
                <w:color w:val="000000"/>
                <w:szCs w:val="24"/>
              </w:rPr>
              <w:t>供应商业绩</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tcPr>
          <w:p w14:paraId="3BB94304">
            <w:pPr>
              <w:widowControl/>
              <w:spacing w:line="360" w:lineRule="auto"/>
              <w:ind w:firstLine="420" w:firstLineChars="200"/>
              <w:jc w:val="left"/>
              <w:rPr>
                <w:rFonts w:cs="Times New Roman"/>
                <w:color w:val="000000"/>
              </w:rPr>
            </w:pPr>
            <w:r>
              <w:rPr>
                <w:rFonts w:ascii="宋体" w:hAnsi="宋体" w:cs="宋体"/>
                <w:color w:val="000000"/>
                <w:szCs w:val="24"/>
              </w:rPr>
              <w:t>供应商</w:t>
            </w:r>
            <w:r>
              <w:rPr>
                <w:rFonts w:hint="eastAsia" w:ascii="宋体" w:hAnsi="宋体" w:cs="宋体"/>
                <w:color w:val="000000"/>
                <w:szCs w:val="24"/>
              </w:rPr>
              <w:t>自2023年1月1日以来，每具有一份</w:t>
            </w:r>
            <w:r>
              <w:rPr>
                <w:rFonts w:ascii="宋体" w:hAnsi="宋体" w:cs="宋体"/>
                <w:color w:val="000000"/>
                <w:szCs w:val="24"/>
              </w:rPr>
              <w:t>类似业绩的得</w:t>
            </w:r>
            <w:r>
              <w:rPr>
                <w:rFonts w:hint="eastAsia" w:ascii="宋体" w:hAnsi="宋体" w:cs="宋体"/>
                <w:color w:val="000000"/>
                <w:szCs w:val="24"/>
              </w:rPr>
              <w:t>2</w:t>
            </w:r>
            <w:r>
              <w:rPr>
                <w:rFonts w:ascii="宋体" w:hAnsi="宋体" w:cs="宋体"/>
                <w:color w:val="000000"/>
                <w:szCs w:val="24"/>
              </w:rPr>
              <w:t>分，最高得10分。</w:t>
            </w:r>
          </w:p>
          <w:p w14:paraId="6EF0A26B">
            <w:pPr>
              <w:widowControl/>
              <w:spacing w:line="360" w:lineRule="auto"/>
              <w:ind w:firstLine="420" w:firstLineChars="200"/>
              <w:jc w:val="left"/>
              <w:rPr>
                <w:rFonts w:cs="Times New Roman"/>
                <w:color w:val="000000"/>
              </w:rPr>
            </w:pPr>
            <w:r>
              <w:rPr>
                <w:rFonts w:ascii="宋体" w:hAnsi="宋体" w:cs="宋体"/>
                <w:color w:val="000000"/>
                <w:szCs w:val="24"/>
              </w:rPr>
              <w:t>注：①“类似业绩”指：合同内容包含LED</w:t>
            </w:r>
            <w:r>
              <w:rPr>
                <w:rFonts w:ascii="宋体" w:hAnsi="宋体" w:cs="宋体"/>
                <w:spacing w:val="-1"/>
                <w:szCs w:val="24"/>
              </w:rPr>
              <w:t>大屏服务</w:t>
            </w:r>
            <w:r>
              <w:rPr>
                <w:rFonts w:ascii="宋体" w:hAnsi="宋体" w:cs="宋体"/>
                <w:color w:val="000000"/>
                <w:szCs w:val="24"/>
              </w:rPr>
              <w:t>相关的项目业绩。</w:t>
            </w:r>
          </w:p>
          <w:p w14:paraId="3E112EF4">
            <w:pPr>
              <w:widowControl/>
              <w:spacing w:line="360" w:lineRule="auto"/>
              <w:ind w:firstLine="420" w:firstLineChars="200"/>
              <w:jc w:val="left"/>
              <w:rPr>
                <w:rFonts w:cs="Times New Roman"/>
                <w:color w:val="000000"/>
              </w:rPr>
            </w:pPr>
            <w:r>
              <w:rPr>
                <w:rFonts w:ascii="宋体" w:hAnsi="宋体" w:cs="宋体"/>
                <w:color w:val="000000"/>
                <w:szCs w:val="24"/>
              </w:rPr>
              <w:t>②响应文件中须提供业绩合同扫描件，验收合格报告。如合同中无法体现服务内容等评审因素的，须另附业主单位（合同甲方）加盖公章的证明材料扫描件。</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24661A11">
            <w:pPr>
              <w:spacing w:line="360" w:lineRule="auto"/>
              <w:jc w:val="center"/>
              <w:rPr>
                <w:rFonts w:cs="Times New Roman"/>
                <w:color w:val="000000"/>
              </w:rPr>
            </w:pPr>
            <w:r>
              <w:rPr>
                <w:rFonts w:ascii="宋体" w:hAnsi="宋体" w:cs="宋体"/>
                <w:color w:val="000000"/>
                <w:szCs w:val="24"/>
              </w:rPr>
              <w:t>0-10</w:t>
            </w:r>
          </w:p>
        </w:tc>
      </w:tr>
      <w:tr w14:paraId="66D3FDBC">
        <w:tblPrEx>
          <w:tblCellMar>
            <w:top w:w="28" w:type="dxa"/>
            <w:left w:w="51" w:type="dxa"/>
            <w:bottom w:w="28" w:type="dxa"/>
            <w:right w:w="51" w:type="dxa"/>
          </w:tblCellMar>
        </w:tblPrEx>
        <w:trPr>
          <w:trHeight w:val="455"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ign w:val="center"/>
          </w:tcPr>
          <w:p w14:paraId="142F96EE">
            <w:pPr>
              <w:jc w:val="left"/>
              <w:rPr>
                <w:rFonts w:cs="Times New Roman"/>
                <w:color w:val="000000"/>
              </w:rPr>
            </w:pP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3214DB1">
            <w:pPr>
              <w:widowControl/>
              <w:spacing w:line="360" w:lineRule="auto"/>
              <w:jc w:val="center"/>
              <w:rPr>
                <w:rFonts w:cs="Times New Roman"/>
                <w:color w:val="000000"/>
              </w:rPr>
            </w:pPr>
            <w:r>
              <w:rPr>
                <w:rFonts w:ascii="宋体" w:hAnsi="宋体" w:cs="宋体"/>
                <w:color w:val="000000"/>
                <w:szCs w:val="24"/>
              </w:rPr>
              <w:t>体系认证</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762115AE">
            <w:pPr>
              <w:widowControl/>
              <w:spacing w:line="360" w:lineRule="auto"/>
              <w:ind w:firstLine="420" w:firstLineChars="200"/>
              <w:jc w:val="left"/>
              <w:rPr>
                <w:rFonts w:cs="Times New Roman"/>
                <w:color w:val="000000"/>
              </w:rPr>
            </w:pPr>
            <w:r>
              <w:rPr>
                <w:rFonts w:ascii="宋体" w:hAnsi="宋体" w:cs="宋体"/>
                <w:color w:val="000000"/>
                <w:szCs w:val="24"/>
              </w:rPr>
              <w:t>供应商具有经中国国家认证认可监督管理委员会认证机构颁发有效的：</w:t>
            </w:r>
          </w:p>
          <w:p w14:paraId="29A5DE11">
            <w:pPr>
              <w:widowControl/>
              <w:spacing w:line="360" w:lineRule="auto"/>
              <w:jc w:val="left"/>
              <w:rPr>
                <w:rFonts w:cs="Times New Roman"/>
                <w:color w:val="000000"/>
              </w:rPr>
            </w:pPr>
            <w:r>
              <w:rPr>
                <w:rFonts w:ascii="宋体" w:hAnsi="宋体" w:cs="宋体"/>
                <w:color w:val="000000"/>
                <w:szCs w:val="24"/>
              </w:rPr>
              <w:t>（1）质量管理体系认证，得4分；</w:t>
            </w:r>
          </w:p>
          <w:p w14:paraId="4A830D0F">
            <w:pPr>
              <w:widowControl/>
              <w:spacing w:line="360" w:lineRule="auto"/>
              <w:jc w:val="left"/>
              <w:rPr>
                <w:rFonts w:cs="Times New Roman"/>
                <w:color w:val="000000"/>
              </w:rPr>
            </w:pPr>
            <w:r>
              <w:rPr>
                <w:rFonts w:ascii="宋体" w:hAnsi="宋体" w:cs="宋体"/>
                <w:color w:val="000000"/>
                <w:szCs w:val="24"/>
              </w:rPr>
              <w:t>（2）环境管理体系认证，得4分；</w:t>
            </w:r>
          </w:p>
          <w:p w14:paraId="1A94A1F9">
            <w:pPr>
              <w:widowControl/>
              <w:spacing w:line="360" w:lineRule="auto"/>
              <w:jc w:val="left"/>
              <w:rPr>
                <w:rFonts w:ascii="宋体" w:hAnsi="宋体" w:cs="宋体"/>
                <w:color w:val="000000"/>
                <w:szCs w:val="24"/>
              </w:rPr>
            </w:pPr>
            <w:r>
              <w:rPr>
                <w:rFonts w:ascii="宋体" w:hAnsi="宋体" w:cs="宋体"/>
                <w:color w:val="000000"/>
                <w:szCs w:val="24"/>
              </w:rPr>
              <w:t>（3）</w:t>
            </w:r>
            <w:r>
              <w:rPr>
                <w:rFonts w:ascii="宋体" w:hAnsi="宋体" w:cs="宋体"/>
                <w:spacing w:val="-3"/>
                <w:szCs w:val="24"/>
              </w:rPr>
              <w:t>职业健康安全管理体系认证证书</w:t>
            </w:r>
            <w:r>
              <w:rPr>
                <w:rFonts w:ascii="宋体" w:hAnsi="宋体" w:cs="宋体"/>
                <w:color w:val="000000"/>
                <w:szCs w:val="24"/>
              </w:rPr>
              <w:t>，得4分；</w:t>
            </w:r>
          </w:p>
          <w:p w14:paraId="3D830C98">
            <w:pPr>
              <w:widowControl/>
              <w:spacing w:line="360" w:lineRule="auto"/>
              <w:ind w:firstLine="420" w:firstLineChars="200"/>
              <w:jc w:val="left"/>
              <w:rPr>
                <w:rFonts w:ascii="宋体" w:hAnsi="宋体" w:cs="宋体"/>
                <w:color w:val="000000"/>
                <w:szCs w:val="24"/>
              </w:rPr>
            </w:pPr>
            <w:r>
              <w:rPr>
                <w:rFonts w:ascii="宋体" w:hAnsi="宋体" w:cs="宋体"/>
                <w:color w:val="000000"/>
                <w:szCs w:val="24"/>
              </w:rPr>
              <w:t>注:</w:t>
            </w:r>
            <w:r>
              <w:rPr>
                <w:rFonts w:ascii="宋体" w:hAnsi="宋体" w:cs="宋体"/>
                <w:spacing w:val="-1"/>
                <w:szCs w:val="24"/>
              </w:rPr>
              <w:t>以响应文件中提供的有效证书以及全国认证认可信息公共服务平台网站的查询截图为评审依据，未提供或提供</w:t>
            </w:r>
            <w:r>
              <w:rPr>
                <w:rFonts w:ascii="宋体" w:hAnsi="宋体" w:cs="宋体"/>
                <w:spacing w:val="-6"/>
                <w:szCs w:val="24"/>
              </w:rPr>
              <w:t>不全的，不得分。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79D17D5B">
            <w:pPr>
              <w:spacing w:line="360" w:lineRule="auto"/>
              <w:jc w:val="center"/>
              <w:rPr>
                <w:rFonts w:cs="Times New Roman"/>
                <w:color w:val="000000"/>
              </w:rPr>
            </w:pPr>
            <w:r>
              <w:rPr>
                <w:rFonts w:ascii="宋体" w:hAnsi="宋体" w:cs="宋体"/>
                <w:color w:val="000000"/>
                <w:szCs w:val="24"/>
              </w:rPr>
              <w:t>0-12</w:t>
            </w:r>
          </w:p>
        </w:tc>
      </w:tr>
      <w:tr w14:paraId="3879D48A">
        <w:tblPrEx>
          <w:tblCellMar>
            <w:top w:w="28" w:type="dxa"/>
            <w:left w:w="51" w:type="dxa"/>
            <w:bottom w:w="28" w:type="dxa"/>
            <w:right w:w="51" w:type="dxa"/>
          </w:tblCellMar>
        </w:tblPrEx>
        <w:trPr>
          <w:trHeight w:val="455"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ign w:val="center"/>
          </w:tcPr>
          <w:p w14:paraId="13FA253E">
            <w:pPr>
              <w:jc w:val="left"/>
              <w:rPr>
                <w:rFonts w:cs="Times New Roman"/>
                <w:color w:val="000000"/>
              </w:rPr>
            </w:pP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0E916B43">
            <w:pPr>
              <w:widowControl/>
              <w:spacing w:line="360" w:lineRule="auto"/>
              <w:jc w:val="center"/>
              <w:rPr>
                <w:rFonts w:cs="Times New Roman"/>
              </w:rPr>
            </w:pPr>
            <w:r>
              <w:rPr>
                <w:rFonts w:ascii="宋体" w:hAnsi="宋体" w:cs="宋体"/>
                <w:szCs w:val="24"/>
              </w:rPr>
              <w:t>供应商响 应情况</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43A7C0D5">
            <w:pPr>
              <w:widowControl/>
              <w:spacing w:line="360" w:lineRule="auto"/>
              <w:ind w:firstLine="420" w:firstLineChars="200"/>
              <w:jc w:val="left"/>
              <w:rPr>
                <w:rFonts w:cs="Times New Roman"/>
              </w:rPr>
            </w:pPr>
            <w:r>
              <w:rPr>
                <w:rFonts w:ascii="宋体" w:hAnsi="宋体" w:cs="宋体"/>
                <w:szCs w:val="24"/>
              </w:rPr>
              <w:t>采购需求标★项，共计8项，每有一项满足的得1分，满分8分。</w:t>
            </w:r>
          </w:p>
          <w:p w14:paraId="7800B3B3">
            <w:pPr>
              <w:widowControl/>
              <w:spacing w:line="360" w:lineRule="auto"/>
              <w:ind w:firstLine="420" w:firstLineChars="200"/>
              <w:jc w:val="left"/>
              <w:rPr>
                <w:rFonts w:cs="Times New Roman"/>
              </w:rPr>
            </w:pPr>
            <w:r>
              <w:rPr>
                <w:rFonts w:ascii="宋体" w:hAnsi="宋体" w:cs="宋体"/>
                <w:szCs w:val="24"/>
              </w:rPr>
              <w:t>备注：标★项需根据</w:t>
            </w:r>
            <w:r>
              <w:rPr>
                <w:rFonts w:hint="eastAsia" w:ascii="宋体" w:hAnsi="宋体" w:cs="宋体"/>
                <w:szCs w:val="24"/>
              </w:rPr>
              <w:t>发包文件</w:t>
            </w:r>
            <w:r>
              <w:rPr>
                <w:rFonts w:ascii="宋体" w:hAnsi="宋体" w:cs="宋体"/>
                <w:szCs w:val="24"/>
              </w:rPr>
              <w:t>的要求提供有效证明材料，未提供或提供的不符合要求的，不得分。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68924E05">
            <w:pPr>
              <w:spacing w:line="360" w:lineRule="auto"/>
              <w:jc w:val="center"/>
              <w:rPr>
                <w:rFonts w:cs="Times New Roman"/>
              </w:rPr>
            </w:pPr>
            <w:r>
              <w:rPr>
                <w:rFonts w:ascii="宋体" w:hAnsi="宋体" w:cs="宋体"/>
                <w:szCs w:val="24"/>
              </w:rPr>
              <w:t>0-8</w:t>
            </w:r>
          </w:p>
        </w:tc>
      </w:tr>
      <w:tr w14:paraId="2B2495FC">
        <w:tblPrEx>
          <w:tblCellMar>
            <w:top w:w="28" w:type="dxa"/>
            <w:left w:w="51" w:type="dxa"/>
            <w:bottom w:w="28" w:type="dxa"/>
            <w:right w:w="51" w:type="dxa"/>
          </w:tblCellMar>
        </w:tblPrEx>
        <w:trPr>
          <w:trHeight w:val="455"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ign w:val="center"/>
          </w:tcPr>
          <w:p w14:paraId="57573516">
            <w:pPr>
              <w:jc w:val="left"/>
              <w:rPr>
                <w:rFonts w:cs="Times New Roman"/>
                <w:color w:val="000000"/>
              </w:rPr>
            </w:pP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627B670">
            <w:pPr>
              <w:widowControl/>
              <w:spacing w:line="360" w:lineRule="auto"/>
              <w:jc w:val="center"/>
              <w:rPr>
                <w:rFonts w:cs="Times New Roman"/>
                <w:color w:val="000000"/>
              </w:rPr>
            </w:pPr>
            <w:r>
              <w:rPr>
                <w:rFonts w:cs="Times New Roman"/>
                <w:color w:val="000000"/>
                <w:szCs w:val="24"/>
              </w:rPr>
              <w:t>实施方案</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18CCA1FE">
            <w:pPr>
              <w:widowControl/>
              <w:adjustRightInd w:val="0"/>
              <w:snapToGrid w:val="0"/>
              <w:spacing w:line="360" w:lineRule="auto"/>
              <w:ind w:firstLine="420" w:firstLineChars="200"/>
              <w:jc w:val="left"/>
              <w:rPr>
                <w:rFonts w:cs="Times New Roman"/>
                <w:color w:val="000000"/>
              </w:rPr>
            </w:pPr>
            <w:r>
              <w:rPr>
                <w:rFonts w:hint="eastAsia" w:ascii="宋体" w:hAnsi="宋体" w:cs="宋体"/>
                <w:color w:val="000000"/>
                <w:szCs w:val="24"/>
              </w:rPr>
              <w:t>评审小组</w:t>
            </w:r>
            <w:r>
              <w:rPr>
                <w:rFonts w:ascii="宋体" w:hAnsi="宋体" w:cs="宋体"/>
                <w:color w:val="000000"/>
                <w:szCs w:val="24"/>
              </w:rPr>
              <w:t>根据</w:t>
            </w:r>
            <w:r>
              <w:rPr>
                <w:rFonts w:hint="eastAsia" w:ascii="宋体" w:hAnsi="宋体" w:cs="宋体"/>
                <w:color w:val="000000"/>
                <w:szCs w:val="24"/>
              </w:rPr>
              <w:t>发包文件</w:t>
            </w:r>
            <w:r>
              <w:rPr>
                <w:rFonts w:ascii="宋体" w:hAnsi="宋体" w:cs="宋体"/>
                <w:color w:val="000000"/>
                <w:szCs w:val="24"/>
              </w:rPr>
              <w:t>要求及供应商提供的</w:t>
            </w:r>
            <w:r>
              <w:rPr>
                <w:rFonts w:cs="Times New Roman"/>
                <w:color w:val="000000"/>
                <w:szCs w:val="24"/>
              </w:rPr>
              <w:t>实施方案</w:t>
            </w:r>
            <w:r>
              <w:rPr>
                <w:rFonts w:ascii="宋体" w:hAnsi="宋体" w:cs="宋体"/>
                <w:color w:val="000000"/>
                <w:szCs w:val="24"/>
              </w:rPr>
              <w:t>情况，方案包含但不限于：</w:t>
            </w:r>
          </w:p>
          <w:p w14:paraId="4D08FA3E">
            <w:pPr>
              <w:widowControl/>
              <w:adjustRightInd w:val="0"/>
              <w:snapToGrid w:val="0"/>
              <w:spacing w:line="360" w:lineRule="auto"/>
              <w:ind w:firstLine="420" w:firstLineChars="200"/>
              <w:jc w:val="left"/>
              <w:rPr>
                <w:rFonts w:ascii="宋体" w:hAnsi="宋体" w:cs="宋体"/>
                <w:color w:val="000000"/>
                <w:szCs w:val="24"/>
                <w:lang w:val="zh-CN"/>
              </w:rPr>
            </w:pPr>
            <w:r>
              <w:rPr>
                <w:rFonts w:ascii="宋体" w:hAnsi="宋体" w:cs="宋体"/>
                <w:color w:val="000000"/>
                <w:szCs w:val="24"/>
                <w:lang w:val="zh-CN"/>
              </w:rPr>
              <w:t>①</w:t>
            </w:r>
            <w:r>
              <w:rPr>
                <w:rFonts w:ascii="宋体" w:hAnsi="宋体" w:cs="宋体"/>
                <w:spacing w:val="-1"/>
                <w:szCs w:val="24"/>
              </w:rPr>
              <w:t>项目管理保障</w:t>
            </w:r>
            <w:r>
              <w:rPr>
                <w:rFonts w:ascii="宋体" w:hAnsi="宋体" w:cs="宋体"/>
                <w:spacing w:val="-2"/>
                <w:szCs w:val="24"/>
              </w:rPr>
              <w:t>体系</w:t>
            </w:r>
            <w:r>
              <w:rPr>
                <w:rFonts w:ascii="宋体" w:hAnsi="宋体" w:cs="宋体"/>
                <w:color w:val="000000"/>
                <w:szCs w:val="24"/>
                <w:lang w:val="zh-CN"/>
              </w:rPr>
              <w:t>；</w:t>
            </w:r>
          </w:p>
          <w:p w14:paraId="1CFF406F">
            <w:pPr>
              <w:widowControl/>
              <w:adjustRightInd w:val="0"/>
              <w:snapToGrid w:val="0"/>
              <w:spacing w:line="360" w:lineRule="auto"/>
              <w:ind w:firstLine="440" w:firstLineChars="200"/>
              <w:jc w:val="left"/>
              <w:rPr>
                <w:rFonts w:ascii="宋体" w:hAnsi="宋体" w:cs="宋体"/>
                <w:color w:val="000000"/>
                <w:szCs w:val="24"/>
                <w:lang w:val="zh-CN"/>
              </w:rPr>
            </w:pPr>
            <w:r>
              <w:rPr>
                <w:rFonts w:ascii="宋体" w:hAnsi="宋体" w:cs="宋体"/>
                <w:color w:val="000000"/>
                <w:kern w:val="0"/>
                <w:sz w:val="22"/>
              </w:rPr>
              <w:t>②</w:t>
            </w:r>
            <w:r>
              <w:rPr>
                <w:rFonts w:ascii="宋体" w:hAnsi="宋体" w:cs="宋体"/>
                <w:color w:val="000000"/>
                <w:szCs w:val="24"/>
              </w:rPr>
              <w:t>项目团队组织结构；</w:t>
            </w:r>
          </w:p>
          <w:p w14:paraId="01C03CDC">
            <w:pPr>
              <w:widowControl/>
              <w:adjustRightInd w:val="0"/>
              <w:snapToGrid w:val="0"/>
              <w:spacing w:line="360" w:lineRule="auto"/>
              <w:ind w:firstLine="420" w:firstLineChars="200"/>
              <w:jc w:val="left"/>
              <w:rPr>
                <w:rFonts w:cs="Times New Roman"/>
                <w:color w:val="000000"/>
              </w:rPr>
            </w:pPr>
            <w:r>
              <w:rPr>
                <w:rFonts w:ascii="宋体" w:hAnsi="宋体" w:cs="宋体"/>
                <w:color w:val="000000"/>
                <w:szCs w:val="24"/>
              </w:rPr>
              <w:t>③</w:t>
            </w:r>
            <w:r>
              <w:rPr>
                <w:rFonts w:ascii="宋体" w:hAnsi="宋体" w:cs="宋体"/>
                <w:spacing w:val="-2"/>
                <w:szCs w:val="24"/>
              </w:rPr>
              <w:t>项目实施方案</w:t>
            </w:r>
            <w:r>
              <w:rPr>
                <w:rFonts w:ascii="宋体" w:hAnsi="宋体" w:cs="宋体"/>
                <w:color w:val="000000"/>
                <w:szCs w:val="24"/>
                <w:lang w:val="zh-CN"/>
              </w:rPr>
              <w:t>；</w:t>
            </w:r>
          </w:p>
          <w:p w14:paraId="2C8334C3">
            <w:pPr>
              <w:widowControl/>
              <w:adjustRightInd w:val="0"/>
              <w:snapToGrid w:val="0"/>
              <w:spacing w:line="360" w:lineRule="auto"/>
              <w:ind w:firstLine="412" w:firstLineChars="200"/>
              <w:jc w:val="left"/>
              <w:rPr>
                <w:rFonts w:ascii="宋体" w:hAnsi="宋体" w:cs="宋体"/>
                <w:color w:val="000000"/>
                <w:szCs w:val="24"/>
              </w:rPr>
            </w:pPr>
            <w:r>
              <w:rPr>
                <w:rFonts w:ascii="宋体" w:hAnsi="宋体" w:cs="宋体"/>
                <w:spacing w:val="-2"/>
                <w:szCs w:val="24"/>
              </w:rPr>
              <w:t>④实施进度计划与保障措施。</w:t>
            </w:r>
          </w:p>
          <w:p w14:paraId="733DC77E">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根据供应商提供的方案中针对上述内容的体现情况，由</w:t>
            </w:r>
            <w:r>
              <w:rPr>
                <w:rFonts w:hint="eastAsia" w:ascii="宋体" w:hAnsi="宋体" w:cs="宋体"/>
                <w:color w:val="000000"/>
                <w:szCs w:val="24"/>
              </w:rPr>
              <w:t>评审小组</w:t>
            </w:r>
            <w:r>
              <w:rPr>
                <w:rFonts w:ascii="宋体" w:hAnsi="宋体" w:cs="宋体"/>
                <w:color w:val="000000"/>
                <w:szCs w:val="24"/>
              </w:rPr>
              <w:t>进行综合评审：</w:t>
            </w:r>
          </w:p>
          <w:p w14:paraId="43C96502">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(1)对本项目特点和难点理解准确，方案优于本项目采购需求，完整详细，可行性、实用性、针对性强，得8分；</w:t>
            </w:r>
          </w:p>
          <w:p w14:paraId="452C2CC1">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(2)对本项目特点和难点理解基本准确，方案适合本项目采购需求，完整详细，具有可行性、实用性和针对性，得5分；</w:t>
            </w:r>
          </w:p>
          <w:p w14:paraId="65897FA3">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 xml:space="preserve">(3)对本项目特点和难点理解有待提升，方案基本适合本项目采购需求，可行性、实用性、针对性有待改善，得3分； </w:t>
            </w:r>
          </w:p>
          <w:p w14:paraId="7A6DFE48">
            <w:pPr>
              <w:widowControl/>
              <w:spacing w:line="360" w:lineRule="auto"/>
              <w:ind w:firstLine="420" w:firstLineChars="200"/>
              <w:jc w:val="left"/>
              <w:rPr>
                <w:rFonts w:cs="Times New Roman"/>
                <w:color w:val="000000"/>
              </w:rPr>
            </w:pPr>
            <w:r>
              <w:rPr>
                <w:rFonts w:ascii="宋体" w:hAnsi="宋体" w:cs="宋体"/>
                <w:color w:val="000000"/>
                <w:szCs w:val="24"/>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1234758">
            <w:pPr>
              <w:spacing w:line="360" w:lineRule="auto"/>
              <w:jc w:val="center"/>
              <w:rPr>
                <w:rFonts w:cs="Times New Roman"/>
                <w:color w:val="000000"/>
              </w:rPr>
            </w:pPr>
            <w:r>
              <w:rPr>
                <w:rFonts w:ascii="宋体" w:hAnsi="宋体" w:cs="宋体"/>
                <w:color w:val="000000"/>
                <w:szCs w:val="24"/>
              </w:rPr>
              <w:t>0-8</w:t>
            </w:r>
          </w:p>
        </w:tc>
      </w:tr>
      <w:tr w14:paraId="1DA1ABB1">
        <w:tblPrEx>
          <w:tblCellMar>
            <w:top w:w="28" w:type="dxa"/>
            <w:left w:w="51" w:type="dxa"/>
            <w:bottom w:w="28" w:type="dxa"/>
            <w:right w:w="51" w:type="dxa"/>
          </w:tblCellMar>
        </w:tblPrEx>
        <w:trPr>
          <w:trHeight w:val="1210"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ign w:val="center"/>
          </w:tcPr>
          <w:p w14:paraId="5044ECDF">
            <w:pPr>
              <w:jc w:val="left"/>
              <w:rPr>
                <w:rFonts w:cs="Times New Roman"/>
                <w:color w:val="000000"/>
              </w:rPr>
            </w:pP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19136D40">
            <w:pPr>
              <w:spacing w:line="360" w:lineRule="auto"/>
              <w:jc w:val="center"/>
              <w:rPr>
                <w:rFonts w:cs="Times New Roman"/>
                <w:color w:val="000000"/>
              </w:rPr>
            </w:pPr>
            <w:r>
              <w:rPr>
                <w:rFonts w:cs="Times New Roman"/>
                <w:color w:val="000000"/>
                <w:szCs w:val="24"/>
              </w:rPr>
              <w:t>技术方案</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167F796">
            <w:pPr>
              <w:widowControl/>
              <w:adjustRightInd w:val="0"/>
              <w:snapToGrid w:val="0"/>
              <w:spacing w:line="360" w:lineRule="auto"/>
              <w:ind w:firstLine="420" w:firstLineChars="200"/>
              <w:jc w:val="left"/>
              <w:rPr>
                <w:rFonts w:cs="Times New Roman"/>
                <w:color w:val="000000"/>
              </w:rPr>
            </w:pPr>
            <w:r>
              <w:rPr>
                <w:rFonts w:hint="eastAsia" w:ascii="宋体" w:hAnsi="宋体" w:cs="宋体"/>
                <w:color w:val="000000"/>
                <w:szCs w:val="24"/>
              </w:rPr>
              <w:t>评审小组</w:t>
            </w:r>
            <w:r>
              <w:rPr>
                <w:rFonts w:ascii="宋体" w:hAnsi="宋体" w:cs="宋体"/>
                <w:color w:val="000000"/>
                <w:szCs w:val="24"/>
              </w:rPr>
              <w:t>根据</w:t>
            </w:r>
            <w:r>
              <w:rPr>
                <w:rFonts w:hint="eastAsia" w:ascii="宋体" w:hAnsi="宋体" w:cs="宋体"/>
                <w:color w:val="000000"/>
                <w:szCs w:val="24"/>
              </w:rPr>
              <w:t>发包文件</w:t>
            </w:r>
            <w:r>
              <w:rPr>
                <w:rFonts w:ascii="宋体" w:hAnsi="宋体" w:cs="宋体"/>
                <w:color w:val="000000"/>
                <w:szCs w:val="24"/>
              </w:rPr>
              <w:t>要求及供应商提供的</w:t>
            </w:r>
            <w:r>
              <w:rPr>
                <w:rFonts w:cs="Times New Roman"/>
                <w:color w:val="000000"/>
                <w:szCs w:val="24"/>
              </w:rPr>
              <w:t>技术方案</w:t>
            </w:r>
            <w:r>
              <w:rPr>
                <w:rFonts w:ascii="宋体" w:hAnsi="宋体" w:cs="宋体"/>
                <w:color w:val="000000"/>
                <w:szCs w:val="24"/>
              </w:rPr>
              <w:t>情况，方案包含但不限于：</w:t>
            </w:r>
          </w:p>
          <w:p w14:paraId="6BD0B5D3">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①</w:t>
            </w:r>
            <w:r>
              <w:rPr>
                <w:rFonts w:ascii="宋体" w:hAnsi="宋体" w:cs="宋体"/>
                <w:spacing w:val="-1"/>
                <w:szCs w:val="24"/>
              </w:rPr>
              <w:t>项目背景与需求分析</w:t>
            </w:r>
            <w:r>
              <w:rPr>
                <w:rFonts w:ascii="宋体" w:hAnsi="宋体" w:cs="宋体"/>
                <w:color w:val="000000"/>
                <w:szCs w:val="24"/>
              </w:rPr>
              <w:t>；</w:t>
            </w:r>
          </w:p>
          <w:p w14:paraId="60958163">
            <w:pPr>
              <w:widowControl/>
              <w:adjustRightInd w:val="0"/>
              <w:snapToGrid w:val="0"/>
              <w:spacing w:line="360" w:lineRule="auto"/>
              <w:ind w:firstLine="420" w:firstLineChars="200"/>
              <w:rPr>
                <w:rFonts w:ascii="宋体" w:hAnsi="宋体" w:cs="宋体"/>
                <w:color w:val="000000"/>
                <w:szCs w:val="24"/>
              </w:rPr>
            </w:pPr>
            <w:r>
              <w:rPr>
                <w:rFonts w:ascii="宋体" w:hAnsi="宋体" w:cs="宋体"/>
                <w:color w:val="000000"/>
                <w:szCs w:val="24"/>
              </w:rPr>
              <w:t>②系统整体架构设计；</w:t>
            </w:r>
          </w:p>
          <w:p w14:paraId="7390B785">
            <w:pPr>
              <w:widowControl/>
              <w:adjustRightInd w:val="0"/>
              <w:snapToGrid w:val="0"/>
              <w:spacing w:line="360" w:lineRule="auto"/>
              <w:ind w:firstLine="416" w:firstLineChars="200"/>
              <w:rPr>
                <w:rFonts w:ascii="宋体" w:hAnsi="宋体" w:cs="宋体"/>
                <w:color w:val="000000"/>
                <w:szCs w:val="24"/>
              </w:rPr>
            </w:pPr>
            <w:r>
              <w:rPr>
                <w:rFonts w:ascii="宋体" w:hAnsi="宋体" w:cs="宋体"/>
                <w:spacing w:val="-1"/>
                <w:szCs w:val="24"/>
              </w:rPr>
              <w:t>③项目重难点分析。</w:t>
            </w:r>
          </w:p>
          <w:p w14:paraId="6DB6C965">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根据供应商提供的方案中针对上述内容的体现情况，由</w:t>
            </w:r>
            <w:r>
              <w:rPr>
                <w:rFonts w:hint="eastAsia" w:ascii="宋体" w:hAnsi="宋体" w:cs="宋体"/>
                <w:color w:val="000000"/>
                <w:szCs w:val="24"/>
              </w:rPr>
              <w:t>评审小组</w:t>
            </w:r>
            <w:r>
              <w:rPr>
                <w:rFonts w:ascii="宋体" w:hAnsi="宋体" w:cs="宋体"/>
                <w:color w:val="000000"/>
                <w:szCs w:val="24"/>
              </w:rPr>
              <w:t>进行综合评审：</w:t>
            </w:r>
          </w:p>
          <w:p w14:paraId="04684734">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(1)对本项目特点和难点理解准确，方案优于本项目采购需求，完整详细，可行性、实用性、针对性强，得8分；</w:t>
            </w:r>
          </w:p>
          <w:p w14:paraId="37E034AE">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(2)对本项目特点和难点理解基本准确，方案适合本项目采购需求，完整详细，具有可行性、实用性和针对性，得5分；</w:t>
            </w:r>
          </w:p>
          <w:p w14:paraId="4860A220">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 xml:space="preserve">(3)对本项目特点和难点理解有待提升，方案基本适合本项目采购需求，可行性、实用性、针对性有待改善，得3分； </w:t>
            </w:r>
          </w:p>
          <w:p w14:paraId="3C41F2E2">
            <w:pPr>
              <w:widowControl/>
              <w:spacing w:line="360" w:lineRule="auto"/>
              <w:ind w:firstLine="420" w:firstLineChars="200"/>
              <w:jc w:val="left"/>
              <w:rPr>
                <w:rFonts w:cs="Times New Roman"/>
                <w:color w:val="000000"/>
              </w:rPr>
            </w:pPr>
            <w:r>
              <w:rPr>
                <w:rFonts w:ascii="宋体" w:hAnsi="宋体" w:cs="宋体"/>
                <w:color w:val="000000"/>
                <w:szCs w:val="24"/>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0D3CBBF1">
            <w:pPr>
              <w:spacing w:line="360" w:lineRule="auto"/>
              <w:jc w:val="center"/>
              <w:rPr>
                <w:rFonts w:cs="Times New Roman"/>
                <w:color w:val="000000"/>
              </w:rPr>
            </w:pPr>
            <w:r>
              <w:rPr>
                <w:rFonts w:ascii="宋体" w:hAnsi="宋体" w:cs="宋体"/>
                <w:color w:val="000000"/>
                <w:szCs w:val="24"/>
              </w:rPr>
              <w:t>0-8</w:t>
            </w:r>
          </w:p>
        </w:tc>
      </w:tr>
      <w:tr w14:paraId="640D9EEB">
        <w:tblPrEx>
          <w:tblCellMar>
            <w:top w:w="28" w:type="dxa"/>
            <w:left w:w="51" w:type="dxa"/>
            <w:bottom w:w="28" w:type="dxa"/>
            <w:right w:w="51" w:type="dxa"/>
          </w:tblCellMar>
        </w:tblPrEx>
        <w:trPr>
          <w:trHeight w:val="1210"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ign w:val="center"/>
          </w:tcPr>
          <w:p w14:paraId="5AAEBDE5">
            <w:pPr>
              <w:jc w:val="left"/>
              <w:rPr>
                <w:rFonts w:cs="Times New Roman"/>
                <w:color w:val="000000"/>
              </w:rPr>
            </w:pP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7B3479B1">
            <w:pPr>
              <w:spacing w:line="360" w:lineRule="auto"/>
              <w:jc w:val="center"/>
              <w:rPr>
                <w:rFonts w:cs="Times New Roman"/>
                <w:color w:val="000000"/>
              </w:rPr>
            </w:pPr>
            <w:r>
              <w:rPr>
                <w:rFonts w:ascii="宋体" w:hAnsi="宋体" w:cs="宋体"/>
                <w:spacing w:val="-3"/>
                <w:szCs w:val="24"/>
              </w:rPr>
              <w:t>应急方案</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760FC06">
            <w:pPr>
              <w:widowControl/>
              <w:adjustRightInd w:val="0"/>
              <w:snapToGrid w:val="0"/>
              <w:spacing w:line="360" w:lineRule="auto"/>
              <w:ind w:firstLine="420" w:firstLineChars="200"/>
              <w:jc w:val="left"/>
              <w:rPr>
                <w:rFonts w:cs="Times New Roman"/>
                <w:color w:val="000000"/>
              </w:rPr>
            </w:pPr>
            <w:r>
              <w:rPr>
                <w:rFonts w:hint="eastAsia" w:ascii="宋体" w:hAnsi="宋体" w:cs="宋体"/>
                <w:color w:val="000000"/>
                <w:szCs w:val="24"/>
              </w:rPr>
              <w:t>评审小组</w:t>
            </w:r>
            <w:r>
              <w:rPr>
                <w:rFonts w:ascii="宋体" w:hAnsi="宋体" w:cs="宋体"/>
                <w:color w:val="000000"/>
                <w:szCs w:val="24"/>
              </w:rPr>
              <w:t>根据</w:t>
            </w:r>
            <w:r>
              <w:rPr>
                <w:rFonts w:hint="eastAsia" w:ascii="宋体" w:hAnsi="宋体" w:cs="宋体"/>
                <w:color w:val="000000"/>
                <w:szCs w:val="24"/>
              </w:rPr>
              <w:t>发包文件</w:t>
            </w:r>
            <w:r>
              <w:rPr>
                <w:rFonts w:ascii="宋体" w:hAnsi="宋体" w:cs="宋体"/>
                <w:color w:val="000000"/>
                <w:szCs w:val="24"/>
              </w:rPr>
              <w:t>要求及供应商提供的</w:t>
            </w:r>
            <w:r>
              <w:rPr>
                <w:rFonts w:ascii="宋体" w:hAnsi="宋体" w:cs="宋体"/>
                <w:spacing w:val="-3"/>
                <w:szCs w:val="24"/>
              </w:rPr>
              <w:t>应急方案</w:t>
            </w:r>
            <w:r>
              <w:rPr>
                <w:rFonts w:ascii="宋体" w:hAnsi="宋体" w:cs="宋体"/>
                <w:color w:val="000000"/>
                <w:szCs w:val="24"/>
              </w:rPr>
              <w:t>情况，方案包含但不限于：</w:t>
            </w:r>
          </w:p>
          <w:p w14:paraId="5D6A4935">
            <w:pPr>
              <w:widowControl/>
              <w:adjustRightInd w:val="0"/>
              <w:snapToGrid w:val="0"/>
              <w:spacing w:line="360" w:lineRule="auto"/>
              <w:ind w:firstLine="420" w:firstLineChars="200"/>
              <w:jc w:val="left"/>
              <w:rPr>
                <w:rFonts w:cs="Times New Roman"/>
                <w:color w:val="000000"/>
              </w:rPr>
            </w:pPr>
            <w:r>
              <w:rPr>
                <w:rFonts w:ascii="宋体" w:hAnsi="宋体" w:cs="宋体"/>
                <w:color w:val="000000"/>
                <w:szCs w:val="24"/>
                <w:lang w:val="zh-CN"/>
              </w:rPr>
              <w:t>①</w:t>
            </w:r>
            <w:r>
              <w:rPr>
                <w:rFonts w:ascii="宋体" w:hAnsi="宋体" w:cs="宋体"/>
                <w:spacing w:val="-3"/>
                <w:szCs w:val="24"/>
              </w:rPr>
              <w:t>应急故障分类</w:t>
            </w:r>
            <w:r>
              <w:rPr>
                <w:rFonts w:ascii="宋体" w:hAnsi="宋体" w:cs="宋体"/>
                <w:color w:val="000000"/>
                <w:szCs w:val="24"/>
                <w:lang w:val="zh-CN"/>
              </w:rPr>
              <w:t>；</w:t>
            </w:r>
          </w:p>
          <w:p w14:paraId="51F9C31F">
            <w:pPr>
              <w:widowControl/>
              <w:adjustRightInd w:val="0"/>
              <w:snapToGrid w:val="0"/>
              <w:spacing w:line="360" w:lineRule="auto"/>
              <w:ind w:firstLine="420" w:firstLineChars="200"/>
              <w:jc w:val="left"/>
              <w:rPr>
                <w:rFonts w:cs="Times New Roman"/>
                <w:color w:val="000000"/>
              </w:rPr>
            </w:pPr>
            <w:r>
              <w:rPr>
                <w:rFonts w:ascii="宋体" w:hAnsi="宋体" w:cs="宋体"/>
                <w:color w:val="000000"/>
                <w:szCs w:val="24"/>
                <w:lang w:val="zh-CN"/>
              </w:rPr>
              <w:t>②</w:t>
            </w:r>
            <w:r>
              <w:rPr>
                <w:rFonts w:ascii="宋体" w:hAnsi="宋体" w:cs="宋体"/>
                <w:spacing w:val="-3"/>
                <w:szCs w:val="24"/>
              </w:rPr>
              <w:t>应急响应时间</w:t>
            </w:r>
            <w:r>
              <w:rPr>
                <w:rFonts w:ascii="宋体" w:hAnsi="宋体" w:cs="宋体"/>
                <w:color w:val="000000"/>
                <w:szCs w:val="24"/>
                <w:lang w:val="zh-CN"/>
              </w:rPr>
              <w:t>；</w:t>
            </w:r>
          </w:p>
          <w:p w14:paraId="40AD5524">
            <w:pPr>
              <w:widowControl/>
              <w:adjustRightInd w:val="0"/>
              <w:snapToGrid w:val="0"/>
              <w:spacing w:line="360" w:lineRule="auto"/>
              <w:ind w:firstLine="420" w:firstLineChars="200"/>
              <w:jc w:val="left"/>
              <w:rPr>
                <w:rFonts w:ascii="宋体" w:hAnsi="宋体" w:cs="宋体"/>
                <w:spacing w:val="-3"/>
                <w:szCs w:val="24"/>
              </w:rPr>
            </w:pPr>
            <w:r>
              <w:rPr>
                <w:rFonts w:ascii="宋体" w:hAnsi="宋体" w:cs="宋体"/>
                <w:color w:val="000000"/>
                <w:szCs w:val="24"/>
                <w:lang w:val="zh-CN"/>
              </w:rPr>
              <w:t>③</w:t>
            </w:r>
            <w:r>
              <w:rPr>
                <w:rFonts w:ascii="宋体" w:hAnsi="宋体" w:cs="宋体"/>
                <w:spacing w:val="-3"/>
                <w:szCs w:val="24"/>
              </w:rPr>
              <w:t>应急处理方案；</w:t>
            </w:r>
          </w:p>
          <w:p w14:paraId="63D547B8">
            <w:pPr>
              <w:widowControl/>
              <w:adjustRightInd w:val="0"/>
              <w:snapToGrid w:val="0"/>
              <w:spacing w:line="360" w:lineRule="auto"/>
              <w:ind w:firstLine="408" w:firstLineChars="200"/>
              <w:jc w:val="left"/>
              <w:rPr>
                <w:rFonts w:cs="Times New Roman"/>
                <w:color w:val="000000"/>
              </w:rPr>
            </w:pPr>
            <w:r>
              <w:rPr>
                <w:rFonts w:ascii="宋体" w:hAnsi="宋体" w:cs="宋体"/>
                <w:spacing w:val="-3"/>
                <w:szCs w:val="24"/>
              </w:rPr>
              <w:t>④应急处理措施</w:t>
            </w:r>
            <w:r>
              <w:rPr>
                <w:rFonts w:cs="Times New Roman"/>
                <w:color w:val="000000"/>
                <w:szCs w:val="24"/>
              </w:rPr>
              <w:t>。</w:t>
            </w:r>
          </w:p>
          <w:p w14:paraId="28327A8B">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根据供应商提供的方案中针对上述内容的体现情况，由</w:t>
            </w:r>
            <w:r>
              <w:rPr>
                <w:rFonts w:hint="eastAsia" w:ascii="宋体" w:hAnsi="宋体" w:cs="宋体"/>
                <w:color w:val="000000"/>
                <w:szCs w:val="24"/>
              </w:rPr>
              <w:t>评审小组</w:t>
            </w:r>
            <w:r>
              <w:rPr>
                <w:rFonts w:ascii="宋体" w:hAnsi="宋体" w:cs="宋体"/>
                <w:color w:val="000000"/>
                <w:szCs w:val="24"/>
              </w:rPr>
              <w:t>进行综合评审：</w:t>
            </w:r>
          </w:p>
          <w:p w14:paraId="74A2EC38">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 xml:space="preserve">(1)对本项目特点和难点理解准确，方案优于本项目采购需求，完整详细，可行性、实用性、针对性强，得8分； </w:t>
            </w:r>
          </w:p>
          <w:p w14:paraId="1EC2DAE0">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(2)对本项目特点和难点理解基本准确，方案适合本项目采购需求，完整详细，具有可行性、实用性和针对性，得5分；</w:t>
            </w:r>
          </w:p>
          <w:p w14:paraId="281687BF">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 xml:space="preserve">(3)对本项目特点和难点理解有待提升，方案基本适合本项目 采购需求，可行性、实用性、针对性有待改善，得3分； </w:t>
            </w:r>
          </w:p>
          <w:p w14:paraId="37DBD41F">
            <w:pPr>
              <w:widowControl/>
              <w:spacing w:line="360" w:lineRule="auto"/>
              <w:ind w:firstLine="420" w:firstLineChars="200"/>
              <w:jc w:val="left"/>
              <w:rPr>
                <w:rFonts w:cs="Times New Roman"/>
                <w:color w:val="000000"/>
              </w:rPr>
            </w:pPr>
            <w:r>
              <w:rPr>
                <w:rFonts w:ascii="宋体" w:hAnsi="宋体" w:cs="宋体"/>
                <w:color w:val="000000"/>
                <w:szCs w:val="24"/>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8224593">
            <w:pPr>
              <w:spacing w:line="360" w:lineRule="auto"/>
              <w:jc w:val="center"/>
              <w:rPr>
                <w:rFonts w:cs="Times New Roman"/>
                <w:color w:val="000000"/>
              </w:rPr>
            </w:pPr>
            <w:r>
              <w:rPr>
                <w:rFonts w:ascii="宋体" w:hAnsi="宋体" w:cs="宋体"/>
                <w:color w:val="000000"/>
                <w:szCs w:val="24"/>
              </w:rPr>
              <w:t>0-8</w:t>
            </w:r>
          </w:p>
        </w:tc>
      </w:tr>
      <w:tr w14:paraId="12E5C9E5">
        <w:tblPrEx>
          <w:tblCellMar>
            <w:top w:w="28" w:type="dxa"/>
            <w:left w:w="51" w:type="dxa"/>
            <w:bottom w:w="28" w:type="dxa"/>
            <w:right w:w="51" w:type="dxa"/>
          </w:tblCellMar>
        </w:tblPrEx>
        <w:trPr>
          <w:trHeight w:val="1210"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ign w:val="center"/>
          </w:tcPr>
          <w:p w14:paraId="36C5FF4B">
            <w:pPr>
              <w:jc w:val="left"/>
              <w:rPr>
                <w:rFonts w:cs="Times New Roman"/>
                <w:color w:val="000000"/>
              </w:rPr>
            </w:pP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64AA8E5C">
            <w:pPr>
              <w:widowControl/>
              <w:spacing w:line="360" w:lineRule="auto"/>
              <w:jc w:val="center"/>
              <w:textAlignment w:val="center"/>
              <w:rPr>
                <w:rFonts w:ascii="宋体" w:hAnsi="宋体" w:cs="宋体"/>
                <w:color w:val="000000"/>
                <w:sz w:val="22"/>
              </w:rPr>
            </w:pPr>
            <w:r>
              <w:rPr>
                <w:rFonts w:ascii="宋体" w:hAnsi="宋体" w:cs="宋体"/>
                <w:spacing w:val="-3"/>
                <w:szCs w:val="24"/>
              </w:rPr>
              <w:t>培训方案</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67DB7259">
            <w:pPr>
              <w:widowControl/>
              <w:spacing w:line="360" w:lineRule="auto"/>
              <w:ind w:firstLine="420" w:firstLineChars="200"/>
              <w:jc w:val="left"/>
              <w:textAlignment w:val="center"/>
              <w:rPr>
                <w:rFonts w:ascii="宋体" w:hAnsi="宋体" w:cs="宋体"/>
                <w:color w:val="000000"/>
                <w:kern w:val="0"/>
                <w:szCs w:val="24"/>
              </w:rPr>
            </w:pPr>
            <w:r>
              <w:rPr>
                <w:rFonts w:hint="eastAsia" w:ascii="宋体" w:hAnsi="宋体" w:cs="宋体"/>
                <w:color w:val="000000"/>
                <w:szCs w:val="24"/>
              </w:rPr>
              <w:t>评审小组</w:t>
            </w:r>
            <w:r>
              <w:rPr>
                <w:rFonts w:ascii="宋体" w:hAnsi="宋体" w:cs="宋体"/>
                <w:color w:val="000000"/>
                <w:szCs w:val="24"/>
              </w:rPr>
              <w:t>根据</w:t>
            </w:r>
            <w:r>
              <w:rPr>
                <w:rFonts w:hint="eastAsia" w:ascii="宋体" w:hAnsi="宋体" w:cs="宋体"/>
                <w:color w:val="000000"/>
                <w:szCs w:val="24"/>
              </w:rPr>
              <w:t>发包文件</w:t>
            </w:r>
            <w:r>
              <w:rPr>
                <w:rFonts w:ascii="宋体" w:hAnsi="宋体" w:cs="宋体"/>
                <w:color w:val="000000"/>
                <w:szCs w:val="24"/>
              </w:rPr>
              <w:t>要求及供应商提供的</w:t>
            </w:r>
            <w:r>
              <w:rPr>
                <w:rFonts w:ascii="宋体" w:hAnsi="宋体" w:cs="宋体"/>
                <w:spacing w:val="-3"/>
                <w:szCs w:val="24"/>
              </w:rPr>
              <w:t>培训方案</w:t>
            </w:r>
            <w:r>
              <w:rPr>
                <w:rFonts w:ascii="宋体" w:hAnsi="宋体" w:cs="宋体"/>
                <w:color w:val="000000"/>
                <w:szCs w:val="24"/>
              </w:rPr>
              <w:t>情况，方案包含但不限于</w:t>
            </w:r>
            <w:r>
              <w:rPr>
                <w:rFonts w:ascii="宋体" w:hAnsi="宋体" w:cs="宋体"/>
                <w:color w:val="000000"/>
                <w:kern w:val="0"/>
                <w:szCs w:val="24"/>
              </w:rPr>
              <w:t>：</w:t>
            </w:r>
          </w:p>
          <w:p w14:paraId="079D37CD">
            <w:pPr>
              <w:widowControl/>
              <w:spacing w:line="360" w:lineRule="auto"/>
              <w:ind w:firstLine="420" w:firstLineChars="200"/>
              <w:jc w:val="left"/>
              <w:textAlignment w:val="center"/>
              <w:rPr>
                <w:rFonts w:ascii="宋体" w:hAnsi="宋体" w:cs="宋体"/>
                <w:color w:val="000000"/>
                <w:kern w:val="0"/>
                <w:szCs w:val="24"/>
              </w:rPr>
            </w:pPr>
            <w:r>
              <w:rPr>
                <w:rFonts w:ascii="宋体" w:hAnsi="宋体" w:cs="宋体"/>
                <w:color w:val="000000"/>
                <w:kern w:val="0"/>
                <w:szCs w:val="24"/>
              </w:rPr>
              <w:t>①培训计划；</w:t>
            </w:r>
          </w:p>
          <w:p w14:paraId="1EFD6460">
            <w:pPr>
              <w:widowControl/>
              <w:spacing w:line="360" w:lineRule="auto"/>
              <w:ind w:firstLine="420" w:firstLineChars="200"/>
              <w:jc w:val="left"/>
              <w:textAlignment w:val="center"/>
              <w:rPr>
                <w:rFonts w:ascii="宋体" w:hAnsi="宋体" w:cs="宋体"/>
                <w:color w:val="000000"/>
                <w:kern w:val="0"/>
                <w:szCs w:val="24"/>
              </w:rPr>
            </w:pPr>
            <w:r>
              <w:rPr>
                <w:rFonts w:ascii="宋体" w:hAnsi="宋体" w:cs="宋体"/>
                <w:color w:val="000000"/>
                <w:kern w:val="0"/>
                <w:szCs w:val="24"/>
              </w:rPr>
              <w:t>②培训内容；</w:t>
            </w:r>
          </w:p>
          <w:p w14:paraId="1EE773DD">
            <w:pPr>
              <w:widowControl/>
              <w:spacing w:line="360" w:lineRule="auto"/>
              <w:ind w:firstLine="420" w:firstLineChars="200"/>
              <w:jc w:val="left"/>
              <w:textAlignment w:val="center"/>
              <w:rPr>
                <w:rFonts w:ascii="宋体" w:hAnsi="宋体" w:cs="宋体"/>
                <w:color w:val="000000"/>
                <w:kern w:val="0"/>
                <w:szCs w:val="24"/>
              </w:rPr>
            </w:pPr>
            <w:r>
              <w:rPr>
                <w:rFonts w:ascii="宋体" w:hAnsi="宋体" w:cs="宋体"/>
                <w:color w:val="000000"/>
                <w:kern w:val="0"/>
                <w:szCs w:val="24"/>
              </w:rPr>
              <w:t>③培训方式；</w:t>
            </w:r>
          </w:p>
          <w:p w14:paraId="04704AE7">
            <w:pPr>
              <w:widowControl/>
              <w:spacing w:line="360" w:lineRule="auto"/>
              <w:ind w:firstLine="420" w:firstLineChars="200"/>
              <w:jc w:val="left"/>
              <w:textAlignment w:val="center"/>
              <w:rPr>
                <w:rFonts w:ascii="宋体" w:hAnsi="宋体" w:cs="宋体"/>
                <w:color w:val="000000"/>
                <w:kern w:val="0"/>
                <w:szCs w:val="24"/>
              </w:rPr>
            </w:pPr>
            <w:r>
              <w:rPr>
                <w:rFonts w:ascii="宋体" w:hAnsi="宋体" w:cs="宋体"/>
                <w:color w:val="000000"/>
                <w:kern w:val="0"/>
                <w:szCs w:val="24"/>
              </w:rPr>
              <w:t>④培训流程；</w:t>
            </w:r>
          </w:p>
          <w:p w14:paraId="01AC760E">
            <w:pPr>
              <w:widowControl/>
              <w:spacing w:line="360" w:lineRule="auto"/>
              <w:ind w:firstLine="420" w:firstLineChars="200"/>
              <w:jc w:val="left"/>
              <w:textAlignment w:val="center"/>
              <w:rPr>
                <w:rFonts w:ascii="宋体" w:hAnsi="宋体" w:cs="宋体"/>
                <w:color w:val="000000"/>
                <w:sz w:val="22"/>
              </w:rPr>
            </w:pPr>
            <w:r>
              <w:rPr>
                <w:rFonts w:ascii="宋体" w:hAnsi="宋体" w:cs="宋体"/>
                <w:color w:val="000000"/>
                <w:szCs w:val="24"/>
              </w:rPr>
              <w:t>根据供应商提供的方案中针对上述内容的体现情况，由</w:t>
            </w:r>
            <w:r>
              <w:rPr>
                <w:rFonts w:hint="eastAsia" w:ascii="宋体" w:hAnsi="宋体" w:cs="宋体"/>
                <w:color w:val="000000"/>
                <w:szCs w:val="24"/>
              </w:rPr>
              <w:t>评审小组</w:t>
            </w:r>
            <w:r>
              <w:rPr>
                <w:rFonts w:ascii="宋体" w:hAnsi="宋体" w:cs="宋体"/>
                <w:color w:val="000000"/>
                <w:szCs w:val="24"/>
              </w:rPr>
              <w:t>进行综合评审：</w:t>
            </w:r>
            <w:r>
              <w:rPr>
                <w:rFonts w:ascii="宋体" w:hAnsi="宋体" w:cs="宋体"/>
                <w:color w:val="000000"/>
                <w:kern w:val="0"/>
                <w:szCs w:val="24"/>
              </w:rPr>
              <w:br w:type="textWrapping"/>
            </w:r>
            <w:r>
              <w:rPr>
                <w:rFonts w:ascii="宋体" w:hAnsi="宋体" w:cs="宋体"/>
                <w:color w:val="000000"/>
                <w:kern w:val="0"/>
                <w:szCs w:val="24"/>
              </w:rPr>
              <w:t>（1）对本项目特点和难点理解准确，方案优于本项目采购需求，完整详细，可行性、实用性、针对性强，得 8分；</w:t>
            </w:r>
            <w:r>
              <w:rPr>
                <w:rFonts w:ascii="宋体" w:hAnsi="宋体" w:cs="宋体"/>
                <w:color w:val="000000"/>
                <w:kern w:val="0"/>
                <w:szCs w:val="24"/>
              </w:rPr>
              <w:br w:type="textWrapping"/>
            </w:r>
            <w:r>
              <w:rPr>
                <w:rFonts w:ascii="宋体" w:hAnsi="宋体" w:cs="宋体"/>
                <w:color w:val="000000"/>
                <w:kern w:val="0"/>
                <w:szCs w:val="24"/>
              </w:rPr>
              <w:t>（2）对本项目特点和难点理解基本准确，方案适合本项目采购需求，完整详细、具有可行性、实用性和针对性，得5分；</w:t>
            </w:r>
            <w:r>
              <w:rPr>
                <w:rFonts w:ascii="宋体" w:hAnsi="宋体" w:cs="宋体"/>
                <w:color w:val="000000"/>
                <w:kern w:val="0"/>
                <w:szCs w:val="24"/>
              </w:rPr>
              <w:br w:type="textWrapping"/>
            </w:r>
            <w:r>
              <w:rPr>
                <w:rFonts w:ascii="宋体" w:hAnsi="宋体" w:cs="宋体"/>
                <w:color w:val="000000"/>
                <w:kern w:val="0"/>
                <w:szCs w:val="24"/>
              </w:rPr>
              <w:t>（3）对本项目特点和难点理解有待提升，方案基本适合本项目采购需求，可行性、实用性、针对性有待改善，得3分；</w:t>
            </w:r>
            <w:r>
              <w:rPr>
                <w:rFonts w:ascii="宋体" w:hAnsi="宋体" w:cs="宋体"/>
                <w:color w:val="000000"/>
                <w:kern w:val="0"/>
                <w:szCs w:val="24"/>
              </w:rPr>
              <w:br w:type="textWrapping"/>
            </w:r>
            <w:r>
              <w:rPr>
                <w:rFonts w:ascii="宋体" w:hAnsi="宋体" w:cs="宋体"/>
                <w:color w:val="000000"/>
                <w:kern w:val="0"/>
                <w:szCs w:val="24"/>
              </w:rPr>
              <w:t>（4）方案不可行或者未提供得 0 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6BE14507">
            <w:pPr>
              <w:spacing w:line="360" w:lineRule="auto"/>
              <w:jc w:val="center"/>
              <w:rPr>
                <w:rFonts w:ascii="宋体" w:hAnsi="宋体" w:cs="宋体"/>
                <w:color w:val="000000"/>
                <w:szCs w:val="24"/>
              </w:rPr>
            </w:pPr>
            <w:r>
              <w:rPr>
                <w:rFonts w:ascii="宋体" w:hAnsi="宋体" w:cs="宋体"/>
                <w:color w:val="000000"/>
                <w:szCs w:val="24"/>
              </w:rPr>
              <w:t>0-8</w:t>
            </w:r>
          </w:p>
        </w:tc>
      </w:tr>
      <w:tr w14:paraId="685F7FB5">
        <w:tblPrEx>
          <w:tblCellMar>
            <w:top w:w="28" w:type="dxa"/>
            <w:left w:w="51" w:type="dxa"/>
            <w:bottom w:w="28" w:type="dxa"/>
            <w:right w:w="51" w:type="dxa"/>
          </w:tblCellMar>
        </w:tblPrEx>
        <w:trPr>
          <w:trHeight w:val="1044" w:hRule="atLeast"/>
          <w:jc w:val="center"/>
        </w:trPr>
        <w:tc>
          <w:tcPr>
            <w:tcW w:w="1031" w:type="dxa"/>
            <w:vMerge w:val="continue"/>
            <w:tcBorders>
              <w:top w:val="single" w:color="auto" w:sz="4" w:space="0"/>
              <w:left w:val="single" w:color="auto" w:sz="4" w:space="0"/>
              <w:bottom w:val="single" w:color="auto" w:sz="4" w:space="0"/>
              <w:right w:val="single" w:color="auto" w:sz="4" w:space="0"/>
            </w:tcBorders>
            <w:noWrap/>
            <w:vAlign w:val="center"/>
          </w:tcPr>
          <w:p w14:paraId="51445B9C">
            <w:pPr>
              <w:jc w:val="left"/>
              <w:rPr>
                <w:rFonts w:cs="Times New Roman"/>
                <w:color w:val="000000"/>
              </w:rPr>
            </w:pPr>
          </w:p>
        </w:tc>
        <w:tc>
          <w:tcPr>
            <w:tcW w:w="1134"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03527D97">
            <w:pPr>
              <w:widowControl/>
              <w:adjustRightInd w:val="0"/>
              <w:snapToGrid w:val="0"/>
              <w:spacing w:line="360" w:lineRule="auto"/>
              <w:jc w:val="center"/>
              <w:rPr>
                <w:rFonts w:cs="Times New Roman"/>
                <w:color w:val="000000"/>
              </w:rPr>
            </w:pPr>
            <w:r>
              <w:rPr>
                <w:rFonts w:cs="Times New Roman"/>
                <w:color w:val="000000"/>
                <w:szCs w:val="24"/>
              </w:rPr>
              <w:t>售后服务方案</w:t>
            </w:r>
          </w:p>
        </w:tc>
        <w:tc>
          <w:tcPr>
            <w:tcW w:w="64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71C22D98">
            <w:pPr>
              <w:widowControl/>
              <w:adjustRightInd w:val="0"/>
              <w:snapToGrid w:val="0"/>
              <w:spacing w:line="360" w:lineRule="auto"/>
              <w:ind w:firstLine="420" w:firstLineChars="200"/>
              <w:jc w:val="left"/>
              <w:rPr>
                <w:rFonts w:cs="Times New Roman"/>
                <w:color w:val="000000"/>
              </w:rPr>
            </w:pPr>
            <w:r>
              <w:rPr>
                <w:rFonts w:hint="eastAsia" w:ascii="宋体" w:hAnsi="宋体" w:cs="宋体"/>
                <w:color w:val="000000"/>
                <w:szCs w:val="24"/>
              </w:rPr>
              <w:t>评审小组</w:t>
            </w:r>
            <w:r>
              <w:rPr>
                <w:rFonts w:ascii="宋体" w:hAnsi="宋体" w:cs="宋体"/>
                <w:color w:val="000000"/>
                <w:szCs w:val="24"/>
              </w:rPr>
              <w:t>根据</w:t>
            </w:r>
            <w:r>
              <w:rPr>
                <w:rFonts w:hint="eastAsia" w:ascii="宋体" w:hAnsi="宋体" w:cs="宋体"/>
                <w:color w:val="000000"/>
                <w:szCs w:val="24"/>
              </w:rPr>
              <w:t>发包文件</w:t>
            </w:r>
            <w:r>
              <w:rPr>
                <w:rFonts w:ascii="宋体" w:hAnsi="宋体" w:cs="宋体"/>
                <w:color w:val="000000"/>
                <w:szCs w:val="24"/>
              </w:rPr>
              <w:t>要求及供应商提供的售后服务方案情况，方案包含但不限于：</w:t>
            </w:r>
          </w:p>
          <w:p w14:paraId="609F38DC">
            <w:pPr>
              <w:widowControl/>
              <w:adjustRightInd w:val="0"/>
              <w:snapToGrid w:val="0"/>
              <w:spacing w:line="360" w:lineRule="auto"/>
              <w:ind w:firstLine="420" w:firstLineChars="200"/>
              <w:jc w:val="left"/>
              <w:rPr>
                <w:rFonts w:cs="Times New Roman"/>
                <w:color w:val="000000"/>
              </w:rPr>
            </w:pPr>
            <w:r>
              <w:rPr>
                <w:rFonts w:ascii="宋体" w:hAnsi="宋体" w:cs="宋体"/>
                <w:color w:val="000000"/>
                <w:szCs w:val="24"/>
                <w:lang w:val="zh-CN"/>
              </w:rPr>
              <w:t>①</w:t>
            </w:r>
            <w:r>
              <w:rPr>
                <w:rFonts w:ascii="宋体" w:hAnsi="宋体" w:cs="宋体"/>
                <w:spacing w:val="-1"/>
                <w:szCs w:val="24"/>
              </w:rPr>
              <w:t>售</w:t>
            </w:r>
            <w:r>
              <w:rPr>
                <w:rFonts w:ascii="宋体" w:hAnsi="宋体" w:cs="宋体"/>
                <w:spacing w:val="-3"/>
                <w:szCs w:val="24"/>
              </w:rPr>
              <w:t>后人员安排</w:t>
            </w:r>
            <w:r>
              <w:rPr>
                <w:rFonts w:ascii="宋体" w:hAnsi="宋体" w:cs="宋体"/>
                <w:color w:val="000000"/>
                <w:szCs w:val="24"/>
                <w:lang w:val="zh-CN"/>
              </w:rPr>
              <w:t>；</w:t>
            </w:r>
          </w:p>
          <w:p w14:paraId="36FAA6D9">
            <w:pPr>
              <w:widowControl/>
              <w:adjustRightInd w:val="0"/>
              <w:snapToGrid w:val="0"/>
              <w:spacing w:line="360" w:lineRule="auto"/>
              <w:ind w:firstLine="408" w:firstLineChars="200"/>
              <w:jc w:val="left"/>
              <w:rPr>
                <w:rFonts w:ascii="宋体" w:hAnsi="宋体" w:cs="宋体"/>
                <w:color w:val="000000"/>
                <w:szCs w:val="24"/>
                <w:lang w:val="zh-CN"/>
              </w:rPr>
            </w:pPr>
            <w:r>
              <w:rPr>
                <w:rFonts w:ascii="宋体" w:hAnsi="宋体" w:cs="宋体"/>
                <w:spacing w:val="-3"/>
                <w:szCs w:val="24"/>
              </w:rPr>
              <w:t>②售后服务流程</w:t>
            </w:r>
            <w:r>
              <w:rPr>
                <w:rFonts w:ascii="宋体" w:hAnsi="宋体" w:cs="宋体"/>
                <w:color w:val="000000"/>
                <w:szCs w:val="24"/>
                <w:lang w:val="zh-CN"/>
              </w:rPr>
              <w:t>；</w:t>
            </w:r>
          </w:p>
          <w:p w14:paraId="23BA45C8">
            <w:pPr>
              <w:widowControl/>
              <w:adjustRightInd w:val="0"/>
              <w:snapToGrid w:val="0"/>
              <w:spacing w:line="360" w:lineRule="auto"/>
              <w:ind w:firstLine="420" w:firstLineChars="200"/>
              <w:jc w:val="left"/>
              <w:rPr>
                <w:rFonts w:ascii="宋体" w:hAnsi="宋体" w:cs="宋体"/>
                <w:color w:val="000000"/>
                <w:szCs w:val="24"/>
              </w:rPr>
            </w:pPr>
            <w:r>
              <w:rPr>
                <w:rFonts w:ascii="宋体" w:hAnsi="宋体" w:cs="宋体"/>
                <w:color w:val="000000"/>
                <w:szCs w:val="24"/>
              </w:rPr>
              <w:t>③售后巡检计划安排；</w:t>
            </w:r>
          </w:p>
          <w:p w14:paraId="725246A8">
            <w:pPr>
              <w:widowControl/>
              <w:adjustRightInd w:val="0"/>
              <w:snapToGrid w:val="0"/>
              <w:spacing w:line="360" w:lineRule="auto"/>
              <w:ind w:firstLine="408" w:firstLineChars="200"/>
              <w:jc w:val="left"/>
              <w:rPr>
                <w:rFonts w:cs="Times New Roman"/>
                <w:color w:val="000000"/>
              </w:rPr>
            </w:pPr>
            <w:r>
              <w:rPr>
                <w:rFonts w:ascii="宋体" w:hAnsi="宋体" w:cs="宋体"/>
                <w:spacing w:val="-3"/>
                <w:szCs w:val="24"/>
              </w:rPr>
              <w:t>④响应保障措施</w:t>
            </w:r>
            <w:r>
              <w:rPr>
                <w:rFonts w:cs="Times New Roman"/>
                <w:color w:val="000000"/>
                <w:szCs w:val="24"/>
              </w:rPr>
              <w:t>。</w:t>
            </w:r>
          </w:p>
          <w:p w14:paraId="16CBD45A">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根据供应商提供的方案中针对上述内容的体现情况，由</w:t>
            </w:r>
            <w:r>
              <w:rPr>
                <w:rFonts w:hint="eastAsia" w:ascii="宋体" w:hAnsi="宋体" w:cs="宋体"/>
                <w:color w:val="000000"/>
                <w:szCs w:val="24"/>
              </w:rPr>
              <w:t>评审小组</w:t>
            </w:r>
            <w:r>
              <w:rPr>
                <w:rFonts w:ascii="宋体" w:hAnsi="宋体" w:cs="宋体"/>
                <w:color w:val="000000"/>
                <w:szCs w:val="24"/>
              </w:rPr>
              <w:t xml:space="preserve">进行综合评审： </w:t>
            </w:r>
          </w:p>
          <w:p w14:paraId="223EE194">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(1)对本项目特点和难点理解准确，方案优于本项目采购需求，完整详细，可行性、实用性、针对性强，得8分；</w:t>
            </w:r>
          </w:p>
          <w:p w14:paraId="2AF96D69">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(2)对本项目特点和难点理解基本准确，方案适合本项目采购需求，完整详细，具有可行性、实用性和针对性，得5分；</w:t>
            </w:r>
          </w:p>
          <w:p w14:paraId="7CD9A46D">
            <w:pPr>
              <w:widowControl/>
              <w:adjustRightInd w:val="0"/>
              <w:snapToGrid w:val="0"/>
              <w:spacing w:line="360" w:lineRule="auto"/>
              <w:ind w:firstLine="420" w:firstLineChars="200"/>
              <w:rPr>
                <w:rFonts w:cs="Times New Roman"/>
                <w:color w:val="000000"/>
              </w:rPr>
            </w:pPr>
            <w:r>
              <w:rPr>
                <w:rFonts w:ascii="宋体" w:hAnsi="宋体" w:cs="宋体"/>
                <w:color w:val="000000"/>
                <w:szCs w:val="24"/>
              </w:rPr>
              <w:t xml:space="preserve">(3)对本项目特点和难点理解有待提升，方案基本适合本项目采购需求，可行性、实用性、针对性有待改善，得3分； </w:t>
            </w:r>
          </w:p>
          <w:p w14:paraId="5A3D228F">
            <w:pPr>
              <w:widowControl/>
              <w:spacing w:line="360" w:lineRule="auto"/>
              <w:ind w:firstLine="420" w:firstLineChars="200"/>
              <w:jc w:val="left"/>
              <w:rPr>
                <w:rFonts w:cs="Times New Roman"/>
                <w:color w:val="000000"/>
              </w:rPr>
            </w:pPr>
            <w:r>
              <w:rPr>
                <w:rFonts w:ascii="宋体" w:hAnsi="宋体" w:cs="宋体"/>
                <w:color w:val="000000"/>
                <w:szCs w:val="24"/>
              </w:rPr>
              <w:t>(4)方案不可行或者未提供得0分。</w:t>
            </w:r>
          </w:p>
        </w:tc>
        <w:tc>
          <w:tcPr>
            <w:tcW w:w="86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4A3085C3">
            <w:pPr>
              <w:spacing w:line="360" w:lineRule="auto"/>
              <w:jc w:val="center"/>
              <w:rPr>
                <w:rFonts w:cs="Times New Roman"/>
                <w:color w:val="000000"/>
              </w:rPr>
            </w:pPr>
            <w:r>
              <w:rPr>
                <w:rFonts w:ascii="宋体" w:hAnsi="宋体" w:cs="宋体"/>
                <w:color w:val="000000"/>
                <w:szCs w:val="24"/>
              </w:rPr>
              <w:t>0-8</w:t>
            </w:r>
          </w:p>
        </w:tc>
      </w:tr>
      <w:tr w14:paraId="78FFA7CC">
        <w:tblPrEx>
          <w:tblCellMar>
            <w:top w:w="28" w:type="dxa"/>
            <w:left w:w="51" w:type="dxa"/>
            <w:bottom w:w="28" w:type="dxa"/>
            <w:right w:w="51" w:type="dxa"/>
          </w:tblCellMar>
        </w:tblPrEx>
        <w:trPr>
          <w:trHeight w:val="555" w:hRule="atLeast"/>
          <w:jc w:val="center"/>
        </w:trPr>
        <w:tc>
          <w:tcPr>
            <w:tcW w:w="1031" w:type="dxa"/>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58166F14">
            <w:pPr>
              <w:jc w:val="center"/>
              <w:rPr>
                <w:rFonts w:cs="Times New Roman"/>
                <w:color w:val="000000"/>
              </w:rPr>
            </w:pPr>
            <w:r>
              <w:rPr>
                <w:rFonts w:ascii="宋体" w:hAnsi="宋体" w:cs="宋体"/>
                <w:b/>
                <w:bCs/>
                <w:color w:val="000000"/>
                <w:szCs w:val="24"/>
              </w:rPr>
              <w:t>价格分</w:t>
            </w:r>
          </w:p>
          <w:p w14:paraId="52F9EA30">
            <w:pPr>
              <w:jc w:val="left"/>
              <w:rPr>
                <w:rFonts w:cs="Times New Roman"/>
                <w:color w:val="000000"/>
              </w:rPr>
            </w:pPr>
            <w:r>
              <w:rPr>
                <w:rFonts w:ascii="宋体" w:hAnsi="宋体" w:cs="宋体"/>
                <w:b/>
                <w:bCs/>
                <w:color w:val="000000"/>
                <w:szCs w:val="24"/>
              </w:rPr>
              <w:t>（</w:t>
            </w:r>
            <w:r>
              <w:rPr>
                <w:rFonts w:ascii="宋体" w:hAnsi="宋体" w:cs="宋体"/>
                <w:b/>
                <w:bCs/>
                <w:color w:val="000000"/>
                <w:szCs w:val="24"/>
                <w:u w:val="single"/>
              </w:rPr>
              <w:t>30</w:t>
            </w:r>
            <w:r>
              <w:rPr>
                <w:rFonts w:ascii="宋体" w:hAnsi="宋体" w:cs="宋体"/>
                <w:b/>
                <w:bCs/>
                <w:color w:val="000000"/>
                <w:szCs w:val="24"/>
              </w:rPr>
              <w:t>分）</w:t>
            </w:r>
          </w:p>
        </w:tc>
        <w:tc>
          <w:tcPr>
            <w:tcW w:w="8456" w:type="dxa"/>
            <w:gridSpan w:val="3"/>
            <w:tcBorders>
              <w:top w:val="single" w:color="auto" w:sz="4" w:space="0"/>
              <w:left w:val="single" w:color="auto" w:sz="4" w:space="0"/>
              <w:bottom w:val="single" w:color="auto" w:sz="4" w:space="0"/>
              <w:right w:val="single" w:color="auto" w:sz="4" w:space="0"/>
            </w:tcBorders>
            <w:noWrap/>
            <w:tcMar>
              <w:top w:w="28" w:type="dxa"/>
              <w:left w:w="51" w:type="dxa"/>
              <w:bottom w:w="28" w:type="dxa"/>
              <w:right w:w="51" w:type="dxa"/>
            </w:tcMar>
            <w:vAlign w:val="center"/>
          </w:tcPr>
          <w:p w14:paraId="44C6944C">
            <w:pPr>
              <w:widowControl/>
              <w:spacing w:line="360" w:lineRule="auto"/>
              <w:rPr>
                <w:rFonts w:cs="Times New Roman"/>
                <w:color w:val="000000"/>
              </w:rPr>
            </w:pPr>
            <w:r>
              <w:rPr>
                <w:rFonts w:ascii="宋体" w:hAnsi="宋体" w:cs="宋体"/>
                <w:color w:val="000000"/>
                <w:szCs w:val="24"/>
              </w:rPr>
              <w:t>价格分统一采用低价优先法，即满足</w:t>
            </w:r>
            <w:r>
              <w:rPr>
                <w:rFonts w:hint="eastAsia" w:ascii="宋体" w:hAnsi="宋体" w:cs="宋体"/>
                <w:color w:val="000000"/>
                <w:szCs w:val="24"/>
              </w:rPr>
              <w:t>发包</w:t>
            </w:r>
            <w:r>
              <w:rPr>
                <w:rFonts w:ascii="宋体" w:hAnsi="宋体" w:cs="宋体"/>
                <w:color w:val="000000"/>
                <w:szCs w:val="24"/>
              </w:rPr>
              <w:t>文件要求且</w:t>
            </w:r>
            <w:r>
              <w:rPr>
                <w:rFonts w:hint="eastAsia" w:ascii="宋体" w:hAnsi="宋体" w:cs="宋体"/>
                <w:color w:val="000000"/>
                <w:szCs w:val="24"/>
              </w:rPr>
              <w:t>响应</w:t>
            </w:r>
            <w:r>
              <w:rPr>
                <w:rFonts w:ascii="宋体" w:hAnsi="宋体" w:cs="宋体"/>
                <w:color w:val="000000"/>
                <w:szCs w:val="24"/>
              </w:rPr>
              <w:t>报价最低的</w:t>
            </w:r>
            <w:r>
              <w:rPr>
                <w:rFonts w:hint="eastAsia" w:ascii="宋体" w:hAnsi="宋体" w:cs="宋体"/>
                <w:color w:val="000000"/>
                <w:szCs w:val="24"/>
              </w:rPr>
              <w:t>响应报价</w:t>
            </w:r>
            <w:r>
              <w:rPr>
                <w:rFonts w:ascii="宋体" w:hAnsi="宋体" w:cs="宋体"/>
                <w:color w:val="000000"/>
                <w:szCs w:val="24"/>
              </w:rPr>
              <w:t>作为评标基准价，其价格分为满分30分。其他供应商的价格分统一按照下列公式计算（四舍五入保留至小数点后两位数，响应报价保留两位小数）：</w:t>
            </w:r>
          </w:p>
          <w:p w14:paraId="6B135C1E">
            <w:pPr>
              <w:spacing w:line="360" w:lineRule="auto"/>
              <w:jc w:val="left"/>
              <w:rPr>
                <w:rFonts w:cs="Times New Roman"/>
                <w:color w:val="000000"/>
              </w:rPr>
            </w:pPr>
            <w:r>
              <w:rPr>
                <w:rFonts w:hint="eastAsia" w:ascii="宋体" w:hAnsi="宋体" w:cs="宋体"/>
                <w:color w:val="000000"/>
                <w:szCs w:val="24"/>
              </w:rPr>
              <w:t>响应</w:t>
            </w:r>
            <w:r>
              <w:rPr>
                <w:rFonts w:ascii="宋体" w:hAnsi="宋体" w:cs="宋体"/>
                <w:color w:val="000000"/>
                <w:szCs w:val="24"/>
              </w:rPr>
              <w:t>报价得分＝（评标基准价/</w:t>
            </w:r>
            <w:r>
              <w:rPr>
                <w:rFonts w:hint="eastAsia" w:ascii="宋体" w:hAnsi="宋体" w:cs="宋体"/>
                <w:color w:val="000000"/>
                <w:szCs w:val="24"/>
              </w:rPr>
              <w:t>响应</w:t>
            </w:r>
            <w:r>
              <w:rPr>
                <w:rFonts w:ascii="宋体" w:hAnsi="宋体" w:cs="宋体"/>
                <w:color w:val="000000"/>
                <w:szCs w:val="24"/>
              </w:rPr>
              <w:t>报价）×30％×100</w:t>
            </w:r>
          </w:p>
        </w:tc>
      </w:tr>
    </w:tbl>
    <w:p w14:paraId="08FC80BC">
      <w:pPr>
        <w:spacing w:line="360" w:lineRule="auto"/>
        <w:ind w:firstLine="435"/>
        <w:rPr>
          <w:rFonts w:ascii="宋体" w:hAnsi="宋体" w:cs="宋体"/>
        </w:rPr>
      </w:pPr>
    </w:p>
    <w:p w14:paraId="6D6BB775">
      <w:pPr>
        <w:spacing w:line="360" w:lineRule="auto"/>
        <w:ind w:firstLine="435"/>
        <w:rPr>
          <w:rFonts w:ascii="宋体" w:hAnsi="宋体" w:cs="宋体"/>
          <w:sz w:val="24"/>
        </w:rPr>
      </w:pPr>
      <w:r>
        <w:rPr>
          <w:rFonts w:hint="eastAsia" w:ascii="宋体" w:hAnsi="宋体" w:cs="宋体"/>
          <w:sz w:val="24"/>
        </w:rPr>
        <w:t>2.2.3分值汇总</w:t>
      </w:r>
    </w:p>
    <w:p w14:paraId="193DD33F">
      <w:pPr>
        <w:spacing w:line="360" w:lineRule="auto"/>
        <w:ind w:firstLine="435"/>
        <w:rPr>
          <w:rFonts w:ascii="宋体" w:hAnsi="宋体" w:cs="宋体"/>
          <w:sz w:val="24"/>
        </w:rPr>
      </w:pPr>
      <w:r>
        <w:rPr>
          <w:rFonts w:hint="eastAsia" w:ascii="宋体" w:hAnsi="宋体" w:cs="宋体"/>
          <w:sz w:val="24"/>
        </w:rPr>
        <w:t>（1）评审小组各成员应当独立对每个有效响应的文件进行评价、打分，然后汇总每个供应商每项评分因素的得分，再取各位评委评分之平均值，四舍五入保留至小数点后两位数，得到该供应商的技术资信分。</w:t>
      </w:r>
    </w:p>
    <w:p w14:paraId="6F68846D">
      <w:pPr>
        <w:spacing w:line="360" w:lineRule="auto"/>
        <w:ind w:firstLine="435"/>
        <w:rPr>
          <w:rFonts w:ascii="宋体" w:hAnsi="宋体" w:cs="宋体"/>
          <w:sz w:val="24"/>
        </w:rPr>
      </w:pPr>
      <w:r>
        <w:rPr>
          <w:rFonts w:hint="eastAsia" w:ascii="宋体" w:hAnsi="宋体" w:cs="宋体"/>
          <w:sz w:val="24"/>
        </w:rPr>
        <w:t>（2）将每个供应商的技术资信分加上根据上述标准计算出的价格分，即为该供应商的综合总得分。</w:t>
      </w:r>
    </w:p>
    <w:p w14:paraId="5870A19A">
      <w:pPr>
        <w:widowControl/>
        <w:jc w:val="left"/>
        <w:rPr>
          <w:rFonts w:ascii="宋体" w:hAnsi="宋体" w:cs="宋体"/>
          <w:sz w:val="24"/>
        </w:rPr>
      </w:pPr>
      <w:r>
        <w:rPr>
          <w:rFonts w:hint="eastAsia" w:ascii="宋体" w:hAnsi="宋体" w:cs="宋体"/>
          <w:sz w:val="24"/>
        </w:rPr>
        <w:br w:type="page"/>
      </w:r>
    </w:p>
    <w:p w14:paraId="0F6986C2">
      <w:pPr>
        <w:spacing w:line="360" w:lineRule="auto"/>
        <w:jc w:val="center"/>
        <w:outlineLvl w:val="0"/>
        <w:rPr>
          <w:rFonts w:ascii="宋体" w:hAnsi="宋体" w:cs="宋体"/>
          <w:b/>
          <w:sz w:val="28"/>
        </w:rPr>
      </w:pPr>
      <w:bookmarkStart w:id="84" w:name="_Toc29923"/>
      <w:bookmarkStart w:id="85" w:name="_Toc355"/>
      <w:bookmarkStart w:id="86" w:name="_Toc63440929"/>
      <w:bookmarkStart w:id="87" w:name="_Toc2430"/>
      <w:r>
        <w:rPr>
          <w:rFonts w:hint="eastAsia" w:ascii="宋体" w:hAnsi="宋体" w:cs="宋体"/>
          <w:b/>
          <w:sz w:val="28"/>
        </w:rPr>
        <w:t>第五章  采购合同</w:t>
      </w:r>
      <w:bookmarkEnd w:id="84"/>
      <w:bookmarkEnd w:id="85"/>
      <w:bookmarkEnd w:id="86"/>
    </w:p>
    <w:p w14:paraId="34280EF0">
      <w:pPr>
        <w:spacing w:afterLines="50" w:line="600" w:lineRule="exact"/>
        <w:jc w:val="center"/>
        <w:rPr>
          <w:rFonts w:ascii="宋体" w:hAnsi="宋体" w:cs="宋体"/>
          <w:b/>
          <w:bCs/>
          <w:color w:val="000000"/>
          <w:sz w:val="28"/>
          <w:szCs w:val="28"/>
        </w:rPr>
      </w:pPr>
      <w:r>
        <w:rPr>
          <w:rFonts w:ascii="宋体" w:hAnsi="宋体" w:cs="宋体"/>
          <w:b/>
          <w:bCs/>
          <w:color w:val="000000"/>
          <w:sz w:val="40"/>
          <w:szCs w:val="40"/>
        </w:rPr>
        <w:t>采购合同参考范本</w:t>
      </w:r>
    </w:p>
    <w:p w14:paraId="10CA13B6">
      <w:pPr>
        <w:spacing w:afterLines="50" w:line="600" w:lineRule="exact"/>
        <w:jc w:val="center"/>
        <w:rPr>
          <w:rFonts w:ascii="宋体" w:hAnsi="宋体" w:cs="宋体"/>
          <w:b/>
          <w:bCs/>
          <w:color w:val="000000"/>
          <w:sz w:val="28"/>
          <w:szCs w:val="28"/>
        </w:rPr>
      </w:pPr>
    </w:p>
    <w:p w14:paraId="6676CFC5">
      <w:pPr>
        <w:spacing w:line="600" w:lineRule="exact"/>
        <w:rPr>
          <w:color w:val="000000"/>
        </w:rPr>
      </w:pPr>
    </w:p>
    <w:p w14:paraId="62CF18F8">
      <w:pPr>
        <w:pStyle w:val="22"/>
        <w:ind w:firstLine="210"/>
        <w:rPr>
          <w:color w:val="000000"/>
        </w:rPr>
      </w:pPr>
    </w:p>
    <w:p w14:paraId="63A99A8D">
      <w:pPr>
        <w:pStyle w:val="22"/>
        <w:ind w:firstLine="0" w:firstLineChars="0"/>
        <w:rPr>
          <w:color w:val="000000"/>
        </w:rPr>
      </w:pPr>
    </w:p>
    <w:p w14:paraId="48334B58">
      <w:pPr>
        <w:pStyle w:val="22"/>
        <w:ind w:firstLine="210"/>
        <w:rPr>
          <w:color w:val="000000"/>
        </w:rPr>
      </w:pPr>
    </w:p>
    <w:p w14:paraId="3DEABC8D">
      <w:pPr>
        <w:spacing w:line="600" w:lineRule="exact"/>
        <w:jc w:val="center"/>
        <w:rPr>
          <w:rFonts w:ascii="宋体" w:hAnsi="宋体" w:cs="宋体"/>
          <w:b/>
          <w:bCs/>
          <w:color w:val="000000"/>
          <w:sz w:val="24"/>
          <w:szCs w:val="24"/>
        </w:rPr>
      </w:pPr>
      <w:r>
        <w:rPr>
          <w:rFonts w:hint="eastAsia" w:ascii="宋体" w:hAnsi="宋体" w:cs="宋体"/>
          <w:b/>
          <w:bCs/>
          <w:color w:val="000000"/>
          <w:sz w:val="24"/>
          <w:szCs w:val="24"/>
        </w:rPr>
        <w:t>第一部分 合同书</w:t>
      </w:r>
    </w:p>
    <w:p w14:paraId="533E944E">
      <w:pPr>
        <w:spacing w:line="600" w:lineRule="exact"/>
        <w:rPr>
          <w:rFonts w:ascii="宋体" w:hAnsi="宋体" w:cs="宋体"/>
          <w:color w:val="000000"/>
          <w:sz w:val="24"/>
          <w:szCs w:val="24"/>
        </w:rPr>
      </w:pPr>
    </w:p>
    <w:p w14:paraId="69934F3F">
      <w:pPr>
        <w:spacing w:line="600" w:lineRule="exact"/>
        <w:rPr>
          <w:rFonts w:ascii="宋体" w:hAnsi="宋体" w:cs="宋体"/>
          <w:color w:val="000000"/>
          <w:sz w:val="24"/>
          <w:szCs w:val="24"/>
        </w:rPr>
      </w:pPr>
    </w:p>
    <w:p w14:paraId="7D027B61">
      <w:pPr>
        <w:pStyle w:val="22"/>
        <w:ind w:firstLine="240"/>
        <w:rPr>
          <w:rFonts w:ascii="宋体" w:hAnsi="宋体" w:eastAsia="宋体" w:cs="宋体"/>
          <w:color w:val="000000"/>
          <w:sz w:val="24"/>
        </w:rPr>
      </w:pPr>
    </w:p>
    <w:p w14:paraId="60D5B574">
      <w:pPr>
        <w:spacing w:line="700" w:lineRule="exact"/>
        <w:ind w:left="1050" w:leftChars="500"/>
        <w:jc w:val="left"/>
        <w:rPr>
          <w:rFonts w:ascii="宋体" w:hAnsi="宋体" w:cs="宋体"/>
          <w:color w:val="000000"/>
          <w:sz w:val="24"/>
          <w:szCs w:val="24"/>
        </w:rPr>
      </w:pPr>
      <w:r>
        <w:rPr>
          <w:rFonts w:hint="eastAsia" w:ascii="宋体" w:hAnsi="宋体" w:cs="宋体"/>
          <w:color w:val="000000"/>
          <w:sz w:val="24"/>
          <w:szCs w:val="24"/>
        </w:rPr>
        <w:t>项目名称：六安市教育体育局考试指挥中心相关设备更新升级项目</w:t>
      </w:r>
    </w:p>
    <w:p w14:paraId="139A1653">
      <w:pPr>
        <w:spacing w:line="700" w:lineRule="exact"/>
        <w:ind w:left="1050" w:leftChars="500"/>
        <w:jc w:val="left"/>
        <w:rPr>
          <w:rFonts w:ascii="宋体" w:hAnsi="宋体" w:cs="宋体"/>
          <w:color w:val="000000"/>
          <w:sz w:val="24"/>
          <w:szCs w:val="24"/>
          <w:u w:val="single"/>
        </w:rPr>
      </w:pPr>
      <w:r>
        <w:rPr>
          <w:rFonts w:hint="eastAsia" w:ascii="宋体" w:hAnsi="宋体" w:cs="宋体"/>
          <w:color w:val="000000"/>
          <w:sz w:val="24"/>
          <w:szCs w:val="24"/>
        </w:rPr>
        <w:t>项目编号：AHLT-2026166</w:t>
      </w:r>
    </w:p>
    <w:p w14:paraId="55A28194">
      <w:pPr>
        <w:spacing w:line="700" w:lineRule="exact"/>
        <w:ind w:left="1050" w:leftChars="500"/>
        <w:jc w:val="left"/>
        <w:rPr>
          <w:rFonts w:ascii="宋体" w:hAnsi="宋体" w:cs="宋体"/>
          <w:color w:val="000000"/>
          <w:sz w:val="24"/>
          <w:szCs w:val="24"/>
          <w:u w:val="single"/>
        </w:rPr>
      </w:pPr>
      <w:r>
        <w:rPr>
          <w:rFonts w:hint="eastAsia" w:ascii="宋体" w:hAnsi="宋体" w:cs="宋体"/>
          <w:color w:val="000000"/>
          <w:sz w:val="24"/>
          <w:szCs w:val="24"/>
        </w:rPr>
        <w:t>甲方(发包人)：六安市教育体育局</w:t>
      </w:r>
    </w:p>
    <w:p w14:paraId="34CD386F">
      <w:pPr>
        <w:spacing w:line="700" w:lineRule="exact"/>
        <w:ind w:left="1050" w:leftChars="500"/>
        <w:jc w:val="left"/>
        <w:rPr>
          <w:rFonts w:ascii="宋体" w:hAnsi="宋体" w:cs="宋体"/>
          <w:color w:val="000000"/>
          <w:sz w:val="24"/>
          <w:szCs w:val="24"/>
        </w:rPr>
      </w:pPr>
      <w:r>
        <w:rPr>
          <w:rFonts w:hint="eastAsia" w:ascii="宋体" w:hAnsi="宋体" w:cs="宋体"/>
          <w:color w:val="000000"/>
          <w:sz w:val="24"/>
          <w:szCs w:val="24"/>
        </w:rPr>
        <w:t>乙方(成交供应商)：</w:t>
      </w:r>
    </w:p>
    <w:p w14:paraId="08677A43">
      <w:pPr>
        <w:spacing w:line="700" w:lineRule="exact"/>
        <w:ind w:left="1050" w:leftChars="500"/>
        <w:jc w:val="left"/>
        <w:rPr>
          <w:rFonts w:ascii="宋体" w:hAnsi="宋体" w:cs="宋体"/>
          <w:color w:val="000000"/>
          <w:sz w:val="24"/>
          <w:szCs w:val="24"/>
        </w:rPr>
      </w:pPr>
      <w:r>
        <w:rPr>
          <w:rFonts w:hint="eastAsia" w:ascii="宋体" w:hAnsi="宋体" w:cs="宋体"/>
          <w:color w:val="000000"/>
          <w:sz w:val="24"/>
          <w:szCs w:val="24"/>
        </w:rPr>
        <w:t>签订地：</w:t>
      </w:r>
    </w:p>
    <w:p w14:paraId="7E142DD2">
      <w:pPr>
        <w:spacing w:line="700" w:lineRule="exact"/>
        <w:ind w:left="1050" w:leftChars="500"/>
        <w:jc w:val="left"/>
        <w:rPr>
          <w:rFonts w:ascii="宋体" w:hAnsi="宋体" w:cs="宋体"/>
          <w:color w:val="000000"/>
          <w:sz w:val="24"/>
          <w:szCs w:val="24"/>
        </w:rPr>
      </w:pPr>
      <w:r>
        <w:rPr>
          <w:rFonts w:hint="eastAsia" w:ascii="宋体" w:hAnsi="宋体" w:cs="宋体"/>
          <w:color w:val="000000"/>
          <w:sz w:val="24"/>
          <w:szCs w:val="24"/>
        </w:rPr>
        <w:t>签订日期：年月日</w:t>
      </w:r>
    </w:p>
    <w:p w14:paraId="5FCD0B8B">
      <w:pPr>
        <w:snapToGrid w:val="0"/>
        <w:spacing w:line="600" w:lineRule="exact"/>
        <w:rPr>
          <w:color w:val="000000"/>
        </w:rPr>
        <w:sectPr>
          <w:footerReference r:id="rId5" w:type="default"/>
          <w:pgSz w:w="11907" w:h="16839"/>
          <w:pgMar w:top="1118" w:right="1769" w:bottom="1233" w:left="1771" w:header="877" w:footer="982" w:gutter="0"/>
          <w:cols w:space="720" w:num="1"/>
        </w:sectPr>
      </w:pPr>
    </w:p>
    <w:p w14:paraId="54906C67">
      <w:pPr>
        <w:snapToGrid w:val="0"/>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u w:val="single"/>
        </w:rPr>
        <w:t>六安市教育体育局</w:t>
      </w:r>
      <w:r>
        <w:rPr>
          <w:rFonts w:ascii="宋体" w:hAnsi="宋体" w:cs="宋体"/>
          <w:color w:val="000000"/>
          <w:sz w:val="24"/>
          <w:szCs w:val="24"/>
        </w:rPr>
        <w:t>(以下简称：甲方) 通过</w:t>
      </w:r>
      <w:r>
        <w:rPr>
          <w:rFonts w:hint="eastAsia" w:ascii="宋体" w:hAnsi="宋体" w:cs="宋体"/>
          <w:color w:val="000000"/>
          <w:sz w:val="24"/>
          <w:szCs w:val="24"/>
          <w:u w:val="single"/>
        </w:rPr>
        <w:t xml:space="preserve"> 安徽省六投项目管理有限公司 </w:t>
      </w:r>
      <w:r>
        <w:rPr>
          <w:rFonts w:ascii="宋体" w:hAnsi="宋体" w:cs="宋体"/>
          <w:color w:val="000000"/>
          <w:sz w:val="24"/>
          <w:szCs w:val="24"/>
        </w:rPr>
        <w:t>组织的</w:t>
      </w:r>
      <w:r>
        <w:rPr>
          <w:rFonts w:hint="eastAsia" w:ascii="宋体" w:hAnsi="宋体" w:cs="宋体"/>
          <w:color w:val="000000"/>
          <w:sz w:val="24"/>
          <w:szCs w:val="24"/>
          <w:u w:val="single"/>
        </w:rPr>
        <w:t>发包</w:t>
      </w:r>
      <w:r>
        <w:rPr>
          <w:rFonts w:ascii="宋体" w:hAnsi="宋体" w:cs="宋体"/>
          <w:color w:val="000000"/>
          <w:sz w:val="24"/>
          <w:szCs w:val="24"/>
        </w:rPr>
        <w:t>方式采购活动，经</w:t>
      </w:r>
      <w:r>
        <w:rPr>
          <w:rFonts w:hint="eastAsia" w:ascii="宋体" w:hAnsi="宋体" w:cs="宋体"/>
          <w:color w:val="000000"/>
          <w:sz w:val="24"/>
          <w:szCs w:val="24"/>
          <w:u w:val="single"/>
        </w:rPr>
        <w:t>评审小组</w:t>
      </w:r>
      <w:r>
        <w:rPr>
          <w:rFonts w:ascii="宋体" w:hAnsi="宋体" w:cs="宋体"/>
          <w:color w:val="000000"/>
          <w:sz w:val="24"/>
          <w:szCs w:val="24"/>
        </w:rPr>
        <w:t>评定，(</w:t>
      </w:r>
      <w:r>
        <w:rPr>
          <w:rFonts w:ascii="宋体" w:hAnsi="宋体" w:cs="宋体"/>
          <w:color w:val="000000"/>
          <w:sz w:val="24"/>
          <w:szCs w:val="24"/>
          <w:u w:val="single"/>
        </w:rPr>
        <w:t>成交供应商名称)</w:t>
      </w:r>
      <w:r>
        <w:rPr>
          <w:rFonts w:ascii="宋体" w:hAnsi="宋体" w:cs="宋体"/>
          <w:color w:val="000000"/>
          <w:sz w:val="24"/>
          <w:szCs w:val="24"/>
        </w:rPr>
        <w:t xml:space="preserve"> (以下简称</w:t>
      </w:r>
      <w:r>
        <w:rPr>
          <w:rFonts w:hint="eastAsia" w:ascii="宋体" w:hAnsi="宋体" w:cs="宋体"/>
          <w:color w:val="000000"/>
          <w:sz w:val="24"/>
          <w:szCs w:val="24"/>
        </w:rPr>
        <w:t>：</w:t>
      </w:r>
      <w:r>
        <w:rPr>
          <w:rFonts w:ascii="宋体" w:hAnsi="宋体" w:cs="宋体"/>
          <w:color w:val="000000"/>
          <w:sz w:val="24"/>
          <w:szCs w:val="24"/>
        </w:rPr>
        <w:t>乙方)为本项目成交供应商，现按照采购文件确定的事项签订本合同。</w:t>
      </w:r>
    </w:p>
    <w:p w14:paraId="2D721E55">
      <w:pPr>
        <w:snapToGrid w:val="0"/>
        <w:spacing w:line="520" w:lineRule="exact"/>
        <w:ind w:firstLine="480" w:firstLineChars="200"/>
        <w:rPr>
          <w:rFonts w:ascii="宋体" w:hAnsi="宋体" w:cs="宋体"/>
          <w:color w:val="000000"/>
          <w:sz w:val="24"/>
          <w:szCs w:val="24"/>
        </w:rPr>
      </w:pPr>
      <w:r>
        <w:rPr>
          <w:rFonts w:ascii="宋体" w:hAnsi="宋体" w:cs="宋体"/>
          <w:color w:val="000000"/>
          <w:sz w:val="24"/>
          <w:szCs w:val="24"/>
        </w:rPr>
        <w:t>根据《中华人民共和国民法典》、《中华人民共和国政府采购法》等相关法律法规之规定，按照平等、自愿、公平和诚实信用的原则，经甲方和乙方协商一致，约定以下合同条款，以兹共同遵守、全面履行。</w:t>
      </w:r>
    </w:p>
    <w:p w14:paraId="1976D0FB">
      <w:pPr>
        <w:snapToGrid w:val="0"/>
        <w:spacing w:line="520" w:lineRule="exact"/>
        <w:ind w:firstLine="480" w:firstLineChars="200"/>
        <w:outlineLvl w:val="0"/>
        <w:rPr>
          <w:rFonts w:ascii="宋体" w:hAnsi="宋体" w:cs="宋体"/>
          <w:color w:val="000000"/>
          <w:sz w:val="24"/>
          <w:szCs w:val="24"/>
        </w:rPr>
      </w:pPr>
      <w:r>
        <w:rPr>
          <w:rFonts w:ascii="宋体" w:hAnsi="宋体" w:cs="宋体"/>
          <w:color w:val="000000"/>
          <w:sz w:val="24"/>
          <w:szCs w:val="24"/>
        </w:rPr>
        <w:t>1.1 合同组成部分</w:t>
      </w:r>
    </w:p>
    <w:p w14:paraId="113D5AD4">
      <w:pPr>
        <w:snapToGrid w:val="0"/>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rPr>
        <w:t>下列文件为本合同的组成部分，并构成一个整体，需综合解释、相互补充。如果下列文件内容出现不一致的情形，那么在保证按照采购文件确定的事项前提下，组成本合同的多个文件的优先适用顺序如下：</w:t>
      </w:r>
    </w:p>
    <w:p w14:paraId="5FE98D69">
      <w:pPr>
        <w:snapToGrid w:val="0"/>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rPr>
        <w:t>1.1.1 本合同及其补充合同、变更协议；</w:t>
      </w:r>
    </w:p>
    <w:p w14:paraId="14CA1E93">
      <w:pPr>
        <w:snapToGrid w:val="0"/>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rPr>
        <w:t>1.1.2 成交通知书；</w:t>
      </w:r>
    </w:p>
    <w:p w14:paraId="7546B3C5">
      <w:pPr>
        <w:snapToGrid w:val="0"/>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rPr>
        <w:t>1.1.3 响应文件(含澄清或者说明文件)；</w:t>
      </w:r>
    </w:p>
    <w:p w14:paraId="733F790A">
      <w:pPr>
        <w:snapToGrid w:val="0"/>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rPr>
        <w:t>1.1.4 采购文件(含澄清或者修改文件)；</w:t>
      </w:r>
    </w:p>
    <w:p w14:paraId="54F96301">
      <w:pPr>
        <w:snapToGrid w:val="0"/>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rPr>
        <w:t>1.1.5 其他相关采购文件。</w:t>
      </w:r>
    </w:p>
    <w:p w14:paraId="03FC391C">
      <w:pPr>
        <w:snapToGrid w:val="0"/>
        <w:spacing w:line="520" w:lineRule="exact"/>
        <w:ind w:firstLine="480" w:firstLineChars="200"/>
        <w:outlineLvl w:val="0"/>
        <w:rPr>
          <w:rFonts w:ascii="宋体" w:hAnsi="宋体" w:cs="宋体"/>
          <w:color w:val="000000"/>
          <w:sz w:val="24"/>
          <w:szCs w:val="24"/>
        </w:rPr>
      </w:pPr>
      <w:r>
        <w:rPr>
          <w:rFonts w:ascii="宋体" w:hAnsi="宋体" w:cs="宋体"/>
          <w:color w:val="000000"/>
          <w:sz w:val="24"/>
          <w:szCs w:val="24"/>
        </w:rPr>
        <w:t xml:space="preserve">1.2 </w:t>
      </w:r>
      <w:r>
        <w:rPr>
          <w:rFonts w:hint="eastAsia" w:ascii="宋体" w:hAnsi="宋体" w:cs="宋体"/>
          <w:color w:val="000000"/>
          <w:sz w:val="24"/>
          <w:szCs w:val="24"/>
        </w:rPr>
        <w:t>货物</w:t>
      </w:r>
    </w:p>
    <w:tbl>
      <w:tblPr>
        <w:tblStyle w:val="71"/>
        <w:tblW w:w="852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28" w:type="dxa"/>
          <w:bottom w:w="28" w:type="dxa"/>
          <w:right w:w="28" w:type="dxa"/>
        </w:tblCellMar>
      </w:tblPr>
      <w:tblGrid>
        <w:gridCol w:w="964"/>
        <w:gridCol w:w="1514"/>
        <w:gridCol w:w="1516"/>
        <w:gridCol w:w="1511"/>
        <w:gridCol w:w="1511"/>
        <w:gridCol w:w="1512"/>
      </w:tblGrid>
      <w:tr w14:paraId="67B02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20" w:hRule="atLeast"/>
          <w:jc w:val="center"/>
        </w:trPr>
        <w:tc>
          <w:tcPr>
            <w:tcW w:w="964" w:type="dxa"/>
            <w:noWrap/>
            <w:vAlign w:val="center"/>
          </w:tcPr>
          <w:p w14:paraId="2A0F7174">
            <w:pPr>
              <w:spacing w:line="400" w:lineRule="exact"/>
              <w:jc w:val="center"/>
              <w:rPr>
                <w:rFonts w:ascii="宋体" w:hAnsi="宋体" w:cs="宋体"/>
                <w:b/>
                <w:bCs/>
                <w:sz w:val="24"/>
                <w:szCs w:val="24"/>
              </w:rPr>
            </w:pPr>
            <w:r>
              <w:rPr>
                <w:rFonts w:hint="eastAsia" w:ascii="宋体" w:hAnsi="宋体" w:cs="宋体"/>
                <w:b/>
                <w:bCs/>
                <w:sz w:val="24"/>
                <w:szCs w:val="24"/>
              </w:rPr>
              <w:t>序号</w:t>
            </w:r>
          </w:p>
        </w:tc>
        <w:tc>
          <w:tcPr>
            <w:tcW w:w="1514" w:type="dxa"/>
            <w:noWrap/>
            <w:vAlign w:val="center"/>
          </w:tcPr>
          <w:p w14:paraId="249A64C6">
            <w:pPr>
              <w:spacing w:line="400" w:lineRule="exact"/>
              <w:jc w:val="center"/>
              <w:rPr>
                <w:rFonts w:ascii="宋体" w:hAnsi="宋体" w:cs="宋体"/>
                <w:b/>
                <w:bCs/>
                <w:sz w:val="24"/>
                <w:szCs w:val="24"/>
              </w:rPr>
            </w:pPr>
            <w:r>
              <w:rPr>
                <w:rFonts w:hint="eastAsia" w:ascii="宋体" w:hAnsi="宋体" w:cs="宋体"/>
                <w:b/>
                <w:bCs/>
                <w:sz w:val="24"/>
                <w:szCs w:val="24"/>
              </w:rPr>
              <w:t>货物名称</w:t>
            </w:r>
          </w:p>
        </w:tc>
        <w:tc>
          <w:tcPr>
            <w:tcW w:w="1516" w:type="dxa"/>
            <w:noWrap/>
            <w:vAlign w:val="center"/>
          </w:tcPr>
          <w:p w14:paraId="111E27A0">
            <w:pPr>
              <w:spacing w:line="400" w:lineRule="exact"/>
              <w:jc w:val="center"/>
              <w:rPr>
                <w:rFonts w:ascii="宋体" w:hAnsi="宋体" w:cs="宋体"/>
                <w:b/>
                <w:bCs/>
                <w:sz w:val="24"/>
                <w:szCs w:val="24"/>
              </w:rPr>
            </w:pPr>
            <w:r>
              <w:rPr>
                <w:rFonts w:hint="eastAsia" w:ascii="宋体" w:hAnsi="宋体" w:cs="宋体"/>
                <w:b/>
                <w:bCs/>
                <w:sz w:val="24"/>
                <w:szCs w:val="24"/>
              </w:rPr>
              <w:t>规格型号</w:t>
            </w:r>
          </w:p>
        </w:tc>
        <w:tc>
          <w:tcPr>
            <w:tcW w:w="1511" w:type="dxa"/>
            <w:noWrap/>
            <w:vAlign w:val="center"/>
          </w:tcPr>
          <w:p w14:paraId="139E4ADC">
            <w:pPr>
              <w:spacing w:line="400" w:lineRule="exact"/>
              <w:jc w:val="center"/>
              <w:rPr>
                <w:rFonts w:ascii="宋体" w:hAnsi="宋体" w:cs="宋体"/>
                <w:b/>
                <w:bCs/>
                <w:sz w:val="24"/>
                <w:szCs w:val="24"/>
              </w:rPr>
            </w:pPr>
            <w:r>
              <w:rPr>
                <w:rFonts w:hint="eastAsia" w:ascii="宋体" w:hAnsi="宋体" w:cs="宋体"/>
                <w:b/>
                <w:bCs/>
                <w:sz w:val="24"/>
                <w:szCs w:val="24"/>
              </w:rPr>
              <w:t>单位</w:t>
            </w:r>
          </w:p>
        </w:tc>
        <w:tc>
          <w:tcPr>
            <w:tcW w:w="1511" w:type="dxa"/>
            <w:noWrap/>
            <w:vAlign w:val="center"/>
          </w:tcPr>
          <w:p w14:paraId="0EF81828">
            <w:pPr>
              <w:spacing w:line="400" w:lineRule="exact"/>
              <w:jc w:val="center"/>
              <w:rPr>
                <w:rFonts w:ascii="宋体" w:hAnsi="宋体" w:cs="宋体"/>
                <w:b/>
                <w:bCs/>
                <w:sz w:val="24"/>
                <w:szCs w:val="24"/>
              </w:rPr>
            </w:pPr>
            <w:r>
              <w:rPr>
                <w:rFonts w:hint="eastAsia" w:ascii="宋体" w:hAnsi="宋体" w:cs="宋体"/>
                <w:b/>
                <w:bCs/>
                <w:sz w:val="24"/>
                <w:szCs w:val="24"/>
              </w:rPr>
              <w:t>数量</w:t>
            </w:r>
          </w:p>
        </w:tc>
        <w:tc>
          <w:tcPr>
            <w:tcW w:w="1512" w:type="dxa"/>
            <w:noWrap/>
            <w:vAlign w:val="center"/>
          </w:tcPr>
          <w:p w14:paraId="31213099">
            <w:pPr>
              <w:spacing w:line="400" w:lineRule="exact"/>
              <w:jc w:val="center"/>
              <w:rPr>
                <w:rFonts w:ascii="宋体" w:hAnsi="宋体" w:cs="宋体"/>
                <w:b/>
                <w:bCs/>
                <w:sz w:val="24"/>
                <w:szCs w:val="24"/>
              </w:rPr>
            </w:pPr>
            <w:r>
              <w:rPr>
                <w:rFonts w:hint="eastAsia" w:ascii="宋体" w:hAnsi="宋体" w:cs="宋体"/>
                <w:b/>
                <w:bCs/>
                <w:sz w:val="24"/>
                <w:szCs w:val="24"/>
              </w:rPr>
              <w:t>生产厂商</w:t>
            </w:r>
          </w:p>
        </w:tc>
      </w:tr>
      <w:tr w14:paraId="1AD27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16" w:hRule="atLeast"/>
          <w:jc w:val="center"/>
        </w:trPr>
        <w:tc>
          <w:tcPr>
            <w:tcW w:w="964" w:type="dxa"/>
            <w:noWrap/>
            <w:vAlign w:val="center"/>
          </w:tcPr>
          <w:p w14:paraId="587F29D4">
            <w:pPr>
              <w:spacing w:line="400" w:lineRule="exact"/>
              <w:jc w:val="center"/>
              <w:rPr>
                <w:rFonts w:ascii="宋体" w:hAnsi="宋体" w:cs="宋体"/>
                <w:sz w:val="24"/>
                <w:szCs w:val="24"/>
              </w:rPr>
            </w:pPr>
            <w:r>
              <w:rPr>
                <w:rFonts w:hint="eastAsia" w:ascii="宋体" w:hAnsi="宋体" w:cs="宋体"/>
                <w:sz w:val="24"/>
                <w:szCs w:val="24"/>
              </w:rPr>
              <w:t>1</w:t>
            </w:r>
          </w:p>
        </w:tc>
        <w:tc>
          <w:tcPr>
            <w:tcW w:w="1514" w:type="dxa"/>
            <w:noWrap/>
            <w:vAlign w:val="center"/>
          </w:tcPr>
          <w:p w14:paraId="67393CA3">
            <w:pPr>
              <w:spacing w:line="400" w:lineRule="exact"/>
              <w:jc w:val="center"/>
              <w:rPr>
                <w:rFonts w:ascii="宋体" w:hAnsi="宋体" w:cs="宋体"/>
                <w:sz w:val="24"/>
                <w:szCs w:val="24"/>
              </w:rPr>
            </w:pPr>
          </w:p>
        </w:tc>
        <w:tc>
          <w:tcPr>
            <w:tcW w:w="1516" w:type="dxa"/>
            <w:noWrap/>
            <w:vAlign w:val="center"/>
          </w:tcPr>
          <w:p w14:paraId="7053C627">
            <w:pPr>
              <w:spacing w:line="400" w:lineRule="exact"/>
              <w:jc w:val="center"/>
              <w:rPr>
                <w:rFonts w:ascii="宋体" w:hAnsi="宋体" w:cs="宋体"/>
                <w:sz w:val="24"/>
                <w:szCs w:val="24"/>
              </w:rPr>
            </w:pPr>
          </w:p>
        </w:tc>
        <w:tc>
          <w:tcPr>
            <w:tcW w:w="1511" w:type="dxa"/>
            <w:noWrap/>
            <w:vAlign w:val="center"/>
          </w:tcPr>
          <w:p w14:paraId="7EACBA03">
            <w:pPr>
              <w:spacing w:line="400" w:lineRule="exact"/>
              <w:jc w:val="center"/>
              <w:rPr>
                <w:rFonts w:ascii="宋体" w:hAnsi="宋体" w:cs="宋体"/>
                <w:sz w:val="24"/>
                <w:szCs w:val="24"/>
              </w:rPr>
            </w:pPr>
          </w:p>
        </w:tc>
        <w:tc>
          <w:tcPr>
            <w:tcW w:w="1511" w:type="dxa"/>
            <w:noWrap/>
            <w:vAlign w:val="center"/>
          </w:tcPr>
          <w:p w14:paraId="088397F6">
            <w:pPr>
              <w:spacing w:line="400" w:lineRule="exact"/>
              <w:jc w:val="center"/>
              <w:rPr>
                <w:rFonts w:ascii="宋体" w:hAnsi="宋体" w:cs="宋体"/>
                <w:sz w:val="24"/>
                <w:szCs w:val="24"/>
              </w:rPr>
            </w:pPr>
          </w:p>
        </w:tc>
        <w:tc>
          <w:tcPr>
            <w:tcW w:w="1512" w:type="dxa"/>
            <w:noWrap/>
            <w:vAlign w:val="center"/>
          </w:tcPr>
          <w:p w14:paraId="1665AEF7">
            <w:pPr>
              <w:spacing w:line="400" w:lineRule="exact"/>
              <w:jc w:val="center"/>
              <w:rPr>
                <w:rFonts w:ascii="宋体" w:hAnsi="宋体" w:cs="宋体"/>
                <w:sz w:val="24"/>
                <w:szCs w:val="24"/>
              </w:rPr>
            </w:pPr>
          </w:p>
        </w:tc>
      </w:tr>
      <w:tr w14:paraId="6F9E1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16" w:hRule="atLeast"/>
          <w:jc w:val="center"/>
        </w:trPr>
        <w:tc>
          <w:tcPr>
            <w:tcW w:w="964" w:type="dxa"/>
            <w:noWrap/>
            <w:vAlign w:val="center"/>
          </w:tcPr>
          <w:p w14:paraId="2DDDA5C7">
            <w:pPr>
              <w:spacing w:line="400" w:lineRule="exact"/>
              <w:jc w:val="center"/>
              <w:rPr>
                <w:rFonts w:ascii="宋体" w:hAnsi="宋体" w:cs="宋体"/>
                <w:sz w:val="24"/>
                <w:szCs w:val="24"/>
              </w:rPr>
            </w:pPr>
            <w:r>
              <w:rPr>
                <w:rFonts w:hint="eastAsia" w:ascii="宋体" w:hAnsi="宋体" w:cs="宋体"/>
                <w:sz w:val="24"/>
                <w:szCs w:val="24"/>
              </w:rPr>
              <w:t>2</w:t>
            </w:r>
          </w:p>
        </w:tc>
        <w:tc>
          <w:tcPr>
            <w:tcW w:w="1514" w:type="dxa"/>
            <w:noWrap/>
            <w:vAlign w:val="center"/>
          </w:tcPr>
          <w:p w14:paraId="5B20B361">
            <w:pPr>
              <w:spacing w:line="400" w:lineRule="exact"/>
              <w:jc w:val="center"/>
              <w:rPr>
                <w:rFonts w:ascii="宋体" w:hAnsi="宋体" w:cs="宋体"/>
                <w:sz w:val="24"/>
                <w:szCs w:val="24"/>
              </w:rPr>
            </w:pPr>
          </w:p>
        </w:tc>
        <w:tc>
          <w:tcPr>
            <w:tcW w:w="1516" w:type="dxa"/>
            <w:noWrap/>
            <w:vAlign w:val="center"/>
          </w:tcPr>
          <w:p w14:paraId="0A733E85">
            <w:pPr>
              <w:spacing w:line="400" w:lineRule="exact"/>
              <w:jc w:val="center"/>
              <w:rPr>
                <w:rFonts w:ascii="宋体" w:hAnsi="宋体" w:cs="宋体"/>
                <w:sz w:val="24"/>
                <w:szCs w:val="24"/>
              </w:rPr>
            </w:pPr>
          </w:p>
        </w:tc>
        <w:tc>
          <w:tcPr>
            <w:tcW w:w="1511" w:type="dxa"/>
            <w:noWrap/>
            <w:vAlign w:val="center"/>
          </w:tcPr>
          <w:p w14:paraId="4A2B29CA">
            <w:pPr>
              <w:spacing w:line="400" w:lineRule="exact"/>
              <w:jc w:val="center"/>
              <w:rPr>
                <w:rFonts w:ascii="宋体" w:hAnsi="宋体" w:cs="宋体"/>
                <w:sz w:val="24"/>
                <w:szCs w:val="24"/>
              </w:rPr>
            </w:pPr>
          </w:p>
        </w:tc>
        <w:tc>
          <w:tcPr>
            <w:tcW w:w="1511" w:type="dxa"/>
            <w:noWrap/>
            <w:vAlign w:val="center"/>
          </w:tcPr>
          <w:p w14:paraId="21CB23A3">
            <w:pPr>
              <w:spacing w:line="400" w:lineRule="exact"/>
              <w:jc w:val="center"/>
              <w:rPr>
                <w:rFonts w:ascii="宋体" w:hAnsi="宋体" w:cs="宋体"/>
                <w:sz w:val="24"/>
                <w:szCs w:val="24"/>
              </w:rPr>
            </w:pPr>
          </w:p>
        </w:tc>
        <w:tc>
          <w:tcPr>
            <w:tcW w:w="1512" w:type="dxa"/>
            <w:noWrap/>
            <w:vAlign w:val="center"/>
          </w:tcPr>
          <w:p w14:paraId="1AEEE790">
            <w:pPr>
              <w:spacing w:line="400" w:lineRule="exact"/>
              <w:jc w:val="center"/>
              <w:rPr>
                <w:rFonts w:ascii="宋体" w:hAnsi="宋体" w:cs="宋体"/>
                <w:sz w:val="24"/>
                <w:szCs w:val="24"/>
              </w:rPr>
            </w:pPr>
          </w:p>
        </w:tc>
      </w:tr>
      <w:tr w14:paraId="64514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18" w:hRule="atLeast"/>
          <w:jc w:val="center"/>
        </w:trPr>
        <w:tc>
          <w:tcPr>
            <w:tcW w:w="964" w:type="dxa"/>
            <w:noWrap/>
            <w:vAlign w:val="center"/>
          </w:tcPr>
          <w:p w14:paraId="7F5FE912">
            <w:pPr>
              <w:spacing w:line="400" w:lineRule="exact"/>
              <w:jc w:val="center"/>
              <w:rPr>
                <w:rFonts w:ascii="宋体" w:hAnsi="宋体" w:cs="宋体"/>
                <w:sz w:val="24"/>
                <w:szCs w:val="24"/>
              </w:rPr>
            </w:pPr>
            <w:r>
              <w:rPr>
                <w:rFonts w:hint="eastAsia" w:ascii="宋体" w:hAnsi="宋体" w:cs="宋体"/>
                <w:sz w:val="24"/>
                <w:szCs w:val="24"/>
              </w:rPr>
              <w:t>3</w:t>
            </w:r>
          </w:p>
        </w:tc>
        <w:tc>
          <w:tcPr>
            <w:tcW w:w="1514" w:type="dxa"/>
            <w:noWrap/>
            <w:vAlign w:val="center"/>
          </w:tcPr>
          <w:p w14:paraId="19D0771C">
            <w:pPr>
              <w:spacing w:line="400" w:lineRule="exact"/>
              <w:jc w:val="center"/>
              <w:rPr>
                <w:rFonts w:ascii="宋体" w:hAnsi="宋体" w:cs="宋体"/>
                <w:sz w:val="24"/>
                <w:szCs w:val="24"/>
              </w:rPr>
            </w:pPr>
          </w:p>
        </w:tc>
        <w:tc>
          <w:tcPr>
            <w:tcW w:w="1516" w:type="dxa"/>
            <w:noWrap/>
            <w:vAlign w:val="center"/>
          </w:tcPr>
          <w:p w14:paraId="02FE334E">
            <w:pPr>
              <w:spacing w:line="400" w:lineRule="exact"/>
              <w:jc w:val="center"/>
              <w:rPr>
                <w:rFonts w:ascii="宋体" w:hAnsi="宋体" w:cs="宋体"/>
                <w:sz w:val="24"/>
                <w:szCs w:val="24"/>
              </w:rPr>
            </w:pPr>
          </w:p>
        </w:tc>
        <w:tc>
          <w:tcPr>
            <w:tcW w:w="1511" w:type="dxa"/>
            <w:noWrap/>
            <w:vAlign w:val="center"/>
          </w:tcPr>
          <w:p w14:paraId="136B46C7">
            <w:pPr>
              <w:spacing w:line="400" w:lineRule="exact"/>
              <w:jc w:val="center"/>
              <w:rPr>
                <w:rFonts w:ascii="宋体" w:hAnsi="宋体" w:cs="宋体"/>
                <w:sz w:val="24"/>
                <w:szCs w:val="24"/>
              </w:rPr>
            </w:pPr>
          </w:p>
        </w:tc>
        <w:tc>
          <w:tcPr>
            <w:tcW w:w="1511" w:type="dxa"/>
            <w:noWrap/>
            <w:vAlign w:val="center"/>
          </w:tcPr>
          <w:p w14:paraId="54E6B448">
            <w:pPr>
              <w:spacing w:line="400" w:lineRule="exact"/>
              <w:jc w:val="center"/>
              <w:rPr>
                <w:rFonts w:ascii="宋体" w:hAnsi="宋体" w:cs="宋体"/>
                <w:sz w:val="24"/>
                <w:szCs w:val="24"/>
              </w:rPr>
            </w:pPr>
          </w:p>
        </w:tc>
        <w:tc>
          <w:tcPr>
            <w:tcW w:w="1512" w:type="dxa"/>
            <w:noWrap/>
            <w:vAlign w:val="center"/>
          </w:tcPr>
          <w:p w14:paraId="5987C7B8">
            <w:pPr>
              <w:spacing w:line="400" w:lineRule="exact"/>
              <w:jc w:val="center"/>
              <w:rPr>
                <w:rFonts w:ascii="宋体" w:hAnsi="宋体" w:cs="宋体"/>
                <w:sz w:val="24"/>
                <w:szCs w:val="24"/>
              </w:rPr>
            </w:pPr>
          </w:p>
        </w:tc>
      </w:tr>
      <w:tr w14:paraId="63A18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20" w:hRule="atLeast"/>
          <w:jc w:val="center"/>
        </w:trPr>
        <w:tc>
          <w:tcPr>
            <w:tcW w:w="964" w:type="dxa"/>
            <w:noWrap/>
            <w:vAlign w:val="center"/>
          </w:tcPr>
          <w:p w14:paraId="3987689D">
            <w:pPr>
              <w:spacing w:line="400" w:lineRule="exact"/>
              <w:jc w:val="center"/>
              <w:rPr>
                <w:rFonts w:ascii="宋体" w:hAnsi="宋体" w:cs="宋体"/>
                <w:sz w:val="24"/>
                <w:szCs w:val="24"/>
              </w:rPr>
            </w:pPr>
            <w:r>
              <w:rPr>
                <w:rFonts w:hint="eastAsia" w:ascii="宋体" w:hAnsi="宋体" w:cs="宋体"/>
                <w:sz w:val="24"/>
                <w:szCs w:val="24"/>
              </w:rPr>
              <w:t>……</w:t>
            </w:r>
          </w:p>
        </w:tc>
        <w:tc>
          <w:tcPr>
            <w:tcW w:w="1514" w:type="dxa"/>
            <w:noWrap/>
            <w:vAlign w:val="center"/>
          </w:tcPr>
          <w:p w14:paraId="2022E14F">
            <w:pPr>
              <w:spacing w:line="400" w:lineRule="exact"/>
              <w:jc w:val="center"/>
              <w:rPr>
                <w:rFonts w:ascii="宋体" w:hAnsi="宋体" w:cs="宋体"/>
                <w:sz w:val="24"/>
                <w:szCs w:val="24"/>
              </w:rPr>
            </w:pPr>
          </w:p>
        </w:tc>
        <w:tc>
          <w:tcPr>
            <w:tcW w:w="1516" w:type="dxa"/>
            <w:noWrap/>
            <w:vAlign w:val="center"/>
          </w:tcPr>
          <w:p w14:paraId="2ED9306B">
            <w:pPr>
              <w:spacing w:line="400" w:lineRule="exact"/>
              <w:jc w:val="center"/>
              <w:rPr>
                <w:rFonts w:ascii="宋体" w:hAnsi="宋体" w:cs="宋体"/>
                <w:sz w:val="24"/>
                <w:szCs w:val="24"/>
              </w:rPr>
            </w:pPr>
          </w:p>
        </w:tc>
        <w:tc>
          <w:tcPr>
            <w:tcW w:w="1511" w:type="dxa"/>
            <w:noWrap/>
            <w:vAlign w:val="center"/>
          </w:tcPr>
          <w:p w14:paraId="7583C27D">
            <w:pPr>
              <w:spacing w:line="400" w:lineRule="exact"/>
              <w:jc w:val="center"/>
              <w:rPr>
                <w:rFonts w:ascii="宋体" w:hAnsi="宋体" w:cs="宋体"/>
                <w:sz w:val="24"/>
                <w:szCs w:val="24"/>
              </w:rPr>
            </w:pPr>
          </w:p>
        </w:tc>
        <w:tc>
          <w:tcPr>
            <w:tcW w:w="1511" w:type="dxa"/>
            <w:noWrap/>
            <w:vAlign w:val="center"/>
          </w:tcPr>
          <w:p w14:paraId="1196642B">
            <w:pPr>
              <w:spacing w:line="400" w:lineRule="exact"/>
              <w:jc w:val="center"/>
              <w:rPr>
                <w:rFonts w:ascii="宋体" w:hAnsi="宋体" w:cs="宋体"/>
                <w:sz w:val="24"/>
                <w:szCs w:val="24"/>
              </w:rPr>
            </w:pPr>
          </w:p>
        </w:tc>
        <w:tc>
          <w:tcPr>
            <w:tcW w:w="1512" w:type="dxa"/>
            <w:noWrap/>
            <w:vAlign w:val="center"/>
          </w:tcPr>
          <w:p w14:paraId="546214D4">
            <w:pPr>
              <w:spacing w:line="400" w:lineRule="exact"/>
              <w:jc w:val="center"/>
              <w:rPr>
                <w:rFonts w:ascii="宋体" w:hAnsi="宋体" w:cs="宋体"/>
                <w:sz w:val="24"/>
                <w:szCs w:val="24"/>
              </w:rPr>
            </w:pPr>
          </w:p>
        </w:tc>
      </w:tr>
    </w:tbl>
    <w:p w14:paraId="50550F21">
      <w:pPr>
        <w:snapToGrid w:val="0"/>
        <w:spacing w:line="520" w:lineRule="exact"/>
        <w:ind w:firstLine="480" w:firstLineChars="200"/>
        <w:outlineLvl w:val="0"/>
        <w:rPr>
          <w:rFonts w:ascii="宋体" w:hAnsi="宋体" w:cs="宋体"/>
          <w:color w:val="000000"/>
          <w:sz w:val="24"/>
          <w:szCs w:val="24"/>
        </w:rPr>
      </w:pPr>
      <w:r>
        <w:rPr>
          <w:rFonts w:ascii="宋体" w:hAnsi="宋体" w:cs="宋体"/>
          <w:color w:val="000000"/>
          <w:sz w:val="24"/>
          <w:szCs w:val="24"/>
        </w:rPr>
        <w:t>1.3 价款</w:t>
      </w:r>
    </w:p>
    <w:p w14:paraId="7BCB435F">
      <w:pPr>
        <w:snapToGrid w:val="0"/>
        <w:spacing w:line="520" w:lineRule="exact"/>
        <w:ind w:firstLine="480" w:firstLineChars="200"/>
        <w:rPr>
          <w:rFonts w:ascii="宋体" w:hAnsi="宋体" w:cs="宋体"/>
          <w:color w:val="000000"/>
          <w:sz w:val="24"/>
          <w:szCs w:val="24"/>
        </w:rPr>
      </w:pPr>
      <w:r>
        <w:rPr>
          <w:rFonts w:ascii="宋体" w:hAnsi="宋体" w:cs="宋体"/>
          <w:color w:val="000000"/>
          <w:sz w:val="24"/>
          <w:szCs w:val="24"/>
        </w:rPr>
        <w:t>本合同总价为：</w:t>
      </w:r>
      <w:r>
        <w:rPr>
          <w:rFonts w:hint="eastAsia" w:ascii="宋体" w:hAnsi="宋体" w:cs="宋体"/>
          <w:color w:val="000000"/>
          <w:sz w:val="24"/>
          <w:szCs w:val="24"/>
        </w:rPr>
        <w:t>￥元 (大写：人民币元)</w:t>
      </w:r>
      <w:r>
        <w:rPr>
          <w:rFonts w:ascii="宋体" w:hAnsi="宋体" w:cs="宋体"/>
          <w:color w:val="000000"/>
          <w:sz w:val="24"/>
          <w:szCs w:val="24"/>
        </w:rPr>
        <w:t>。</w:t>
      </w:r>
    </w:p>
    <w:p w14:paraId="2129F227">
      <w:pPr>
        <w:snapToGrid w:val="0"/>
        <w:spacing w:line="520" w:lineRule="exact"/>
        <w:ind w:firstLine="480" w:firstLineChars="200"/>
        <w:rPr>
          <w:rFonts w:ascii="宋体" w:hAnsi="宋体" w:cs="宋体"/>
          <w:color w:val="000000"/>
          <w:sz w:val="24"/>
          <w:szCs w:val="24"/>
        </w:rPr>
      </w:pPr>
      <w:r>
        <w:rPr>
          <w:rFonts w:ascii="宋体" w:hAnsi="宋体" w:cs="宋体"/>
          <w:color w:val="000000"/>
          <w:sz w:val="24"/>
          <w:szCs w:val="24"/>
        </w:rPr>
        <w:t>分项价格：</w:t>
      </w:r>
    </w:p>
    <w:tbl>
      <w:tblPr>
        <w:tblStyle w:val="71"/>
        <w:tblW w:w="84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959"/>
        <w:gridCol w:w="4282"/>
        <w:gridCol w:w="3225"/>
      </w:tblGrid>
      <w:tr w14:paraId="5B34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78" w:hRule="atLeast"/>
          <w:jc w:val="center"/>
        </w:trPr>
        <w:tc>
          <w:tcPr>
            <w:tcW w:w="959" w:type="dxa"/>
            <w:noWrap/>
            <w:vAlign w:val="center"/>
          </w:tcPr>
          <w:p w14:paraId="5DA3C465">
            <w:pPr>
              <w:spacing w:line="400" w:lineRule="exact"/>
              <w:jc w:val="center"/>
              <w:rPr>
                <w:rFonts w:ascii="宋体" w:hAnsi="宋体" w:cs="宋体"/>
                <w:b/>
                <w:bCs/>
                <w:sz w:val="24"/>
                <w:szCs w:val="24"/>
              </w:rPr>
            </w:pPr>
            <w:r>
              <w:rPr>
                <w:rFonts w:hint="eastAsia" w:ascii="宋体" w:hAnsi="宋体" w:cs="宋体"/>
                <w:b/>
                <w:bCs/>
                <w:sz w:val="24"/>
                <w:szCs w:val="24"/>
              </w:rPr>
              <w:t>序号</w:t>
            </w:r>
          </w:p>
        </w:tc>
        <w:tc>
          <w:tcPr>
            <w:tcW w:w="4282" w:type="dxa"/>
            <w:noWrap/>
            <w:vAlign w:val="center"/>
          </w:tcPr>
          <w:p w14:paraId="643859C9">
            <w:pPr>
              <w:spacing w:line="400" w:lineRule="exact"/>
              <w:jc w:val="center"/>
              <w:rPr>
                <w:rFonts w:ascii="宋体" w:hAnsi="宋体" w:cs="宋体"/>
                <w:b/>
                <w:bCs/>
                <w:sz w:val="24"/>
                <w:szCs w:val="24"/>
              </w:rPr>
            </w:pPr>
            <w:r>
              <w:rPr>
                <w:rFonts w:hint="eastAsia" w:ascii="宋体" w:hAnsi="宋体" w:cs="宋体"/>
                <w:b/>
                <w:bCs/>
                <w:sz w:val="24"/>
                <w:szCs w:val="24"/>
              </w:rPr>
              <w:t>分项名称</w:t>
            </w:r>
          </w:p>
        </w:tc>
        <w:tc>
          <w:tcPr>
            <w:tcW w:w="3225" w:type="dxa"/>
            <w:noWrap/>
            <w:vAlign w:val="center"/>
          </w:tcPr>
          <w:p w14:paraId="036895AB">
            <w:pPr>
              <w:spacing w:line="400" w:lineRule="exact"/>
              <w:jc w:val="center"/>
              <w:rPr>
                <w:rFonts w:ascii="宋体" w:hAnsi="宋体" w:cs="宋体"/>
                <w:b/>
                <w:bCs/>
                <w:sz w:val="24"/>
                <w:szCs w:val="24"/>
              </w:rPr>
            </w:pPr>
            <w:r>
              <w:rPr>
                <w:rFonts w:hint="eastAsia" w:ascii="宋体" w:hAnsi="宋体" w:cs="宋体"/>
                <w:b/>
                <w:bCs/>
                <w:sz w:val="24"/>
                <w:szCs w:val="24"/>
              </w:rPr>
              <w:t>分项价格</w:t>
            </w:r>
          </w:p>
        </w:tc>
      </w:tr>
      <w:tr w14:paraId="5BC6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73" w:hRule="atLeast"/>
          <w:jc w:val="center"/>
        </w:trPr>
        <w:tc>
          <w:tcPr>
            <w:tcW w:w="959" w:type="dxa"/>
            <w:noWrap/>
            <w:vAlign w:val="center"/>
          </w:tcPr>
          <w:p w14:paraId="32C0810B">
            <w:pPr>
              <w:spacing w:line="400" w:lineRule="exact"/>
              <w:jc w:val="center"/>
              <w:rPr>
                <w:rFonts w:ascii="宋体" w:hAnsi="宋体" w:cs="宋体"/>
                <w:sz w:val="24"/>
                <w:szCs w:val="24"/>
              </w:rPr>
            </w:pPr>
            <w:r>
              <w:rPr>
                <w:rFonts w:hint="eastAsia" w:ascii="宋体" w:hAnsi="宋体" w:cs="宋体"/>
                <w:sz w:val="24"/>
                <w:szCs w:val="24"/>
              </w:rPr>
              <w:t>1</w:t>
            </w:r>
          </w:p>
        </w:tc>
        <w:tc>
          <w:tcPr>
            <w:tcW w:w="4282" w:type="dxa"/>
            <w:noWrap/>
            <w:vAlign w:val="center"/>
          </w:tcPr>
          <w:p w14:paraId="6573C0BC">
            <w:pPr>
              <w:spacing w:line="400" w:lineRule="exact"/>
              <w:jc w:val="center"/>
              <w:rPr>
                <w:rFonts w:ascii="宋体" w:hAnsi="宋体" w:cs="宋体"/>
                <w:sz w:val="24"/>
                <w:szCs w:val="24"/>
              </w:rPr>
            </w:pPr>
          </w:p>
        </w:tc>
        <w:tc>
          <w:tcPr>
            <w:tcW w:w="3225" w:type="dxa"/>
            <w:noWrap/>
            <w:vAlign w:val="center"/>
          </w:tcPr>
          <w:p w14:paraId="6883B48C">
            <w:pPr>
              <w:spacing w:line="400" w:lineRule="exact"/>
              <w:jc w:val="center"/>
              <w:rPr>
                <w:rFonts w:ascii="宋体" w:hAnsi="宋体" w:cs="宋体"/>
                <w:sz w:val="24"/>
                <w:szCs w:val="24"/>
              </w:rPr>
            </w:pPr>
          </w:p>
        </w:tc>
      </w:tr>
      <w:tr w14:paraId="7C37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74" w:hRule="atLeast"/>
          <w:jc w:val="center"/>
        </w:trPr>
        <w:tc>
          <w:tcPr>
            <w:tcW w:w="959" w:type="dxa"/>
            <w:noWrap/>
            <w:vAlign w:val="center"/>
          </w:tcPr>
          <w:p w14:paraId="7751BCA7">
            <w:pPr>
              <w:spacing w:line="400" w:lineRule="exact"/>
              <w:jc w:val="center"/>
              <w:rPr>
                <w:rFonts w:ascii="宋体" w:hAnsi="宋体" w:cs="宋体"/>
                <w:sz w:val="24"/>
                <w:szCs w:val="24"/>
              </w:rPr>
            </w:pPr>
            <w:r>
              <w:rPr>
                <w:rFonts w:hint="eastAsia" w:ascii="宋体" w:hAnsi="宋体" w:cs="宋体"/>
                <w:sz w:val="24"/>
                <w:szCs w:val="24"/>
              </w:rPr>
              <w:t>2</w:t>
            </w:r>
          </w:p>
        </w:tc>
        <w:tc>
          <w:tcPr>
            <w:tcW w:w="4282" w:type="dxa"/>
            <w:noWrap/>
            <w:vAlign w:val="center"/>
          </w:tcPr>
          <w:p w14:paraId="02FB9BB2">
            <w:pPr>
              <w:spacing w:line="400" w:lineRule="exact"/>
              <w:jc w:val="center"/>
              <w:rPr>
                <w:rFonts w:ascii="宋体" w:hAnsi="宋体" w:cs="宋体"/>
                <w:sz w:val="24"/>
                <w:szCs w:val="24"/>
              </w:rPr>
            </w:pPr>
          </w:p>
        </w:tc>
        <w:tc>
          <w:tcPr>
            <w:tcW w:w="3225" w:type="dxa"/>
            <w:noWrap/>
            <w:vAlign w:val="center"/>
          </w:tcPr>
          <w:p w14:paraId="6067B1DD">
            <w:pPr>
              <w:spacing w:line="400" w:lineRule="exact"/>
              <w:jc w:val="center"/>
              <w:rPr>
                <w:rFonts w:ascii="宋体" w:hAnsi="宋体" w:cs="宋体"/>
                <w:sz w:val="24"/>
                <w:szCs w:val="24"/>
              </w:rPr>
            </w:pPr>
          </w:p>
        </w:tc>
      </w:tr>
      <w:tr w14:paraId="36AD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73" w:hRule="atLeast"/>
          <w:jc w:val="center"/>
        </w:trPr>
        <w:tc>
          <w:tcPr>
            <w:tcW w:w="959" w:type="dxa"/>
            <w:noWrap/>
            <w:vAlign w:val="center"/>
          </w:tcPr>
          <w:p w14:paraId="7ACE1F46">
            <w:pPr>
              <w:spacing w:line="400" w:lineRule="exact"/>
              <w:jc w:val="center"/>
              <w:rPr>
                <w:rFonts w:ascii="宋体" w:hAnsi="宋体" w:cs="宋体"/>
                <w:sz w:val="24"/>
                <w:szCs w:val="24"/>
              </w:rPr>
            </w:pPr>
            <w:r>
              <w:rPr>
                <w:rFonts w:hint="eastAsia" w:ascii="宋体" w:hAnsi="宋体" w:cs="宋体"/>
                <w:sz w:val="24"/>
                <w:szCs w:val="24"/>
              </w:rPr>
              <w:t>3</w:t>
            </w:r>
          </w:p>
        </w:tc>
        <w:tc>
          <w:tcPr>
            <w:tcW w:w="4282" w:type="dxa"/>
            <w:noWrap/>
            <w:vAlign w:val="center"/>
          </w:tcPr>
          <w:p w14:paraId="3CC1223C">
            <w:pPr>
              <w:spacing w:line="400" w:lineRule="exact"/>
              <w:jc w:val="center"/>
              <w:rPr>
                <w:rFonts w:ascii="宋体" w:hAnsi="宋体" w:cs="宋体"/>
                <w:sz w:val="24"/>
                <w:szCs w:val="24"/>
              </w:rPr>
            </w:pPr>
          </w:p>
        </w:tc>
        <w:tc>
          <w:tcPr>
            <w:tcW w:w="3225" w:type="dxa"/>
            <w:noWrap/>
            <w:vAlign w:val="center"/>
          </w:tcPr>
          <w:p w14:paraId="1DA15471">
            <w:pPr>
              <w:spacing w:line="400" w:lineRule="exact"/>
              <w:jc w:val="center"/>
              <w:rPr>
                <w:rFonts w:ascii="宋体" w:hAnsi="宋体" w:cs="宋体"/>
                <w:sz w:val="24"/>
                <w:szCs w:val="24"/>
              </w:rPr>
            </w:pPr>
          </w:p>
        </w:tc>
      </w:tr>
      <w:tr w14:paraId="070F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73" w:hRule="atLeast"/>
          <w:jc w:val="center"/>
        </w:trPr>
        <w:tc>
          <w:tcPr>
            <w:tcW w:w="959" w:type="dxa"/>
            <w:noWrap/>
            <w:vAlign w:val="center"/>
          </w:tcPr>
          <w:p w14:paraId="34027794">
            <w:pPr>
              <w:spacing w:line="400" w:lineRule="exact"/>
              <w:jc w:val="center"/>
              <w:rPr>
                <w:rFonts w:ascii="宋体" w:hAnsi="宋体" w:cs="宋体"/>
                <w:sz w:val="24"/>
                <w:szCs w:val="24"/>
              </w:rPr>
            </w:pPr>
            <w:r>
              <w:rPr>
                <w:rFonts w:hint="eastAsia" w:ascii="宋体" w:hAnsi="宋体" w:cs="宋体"/>
                <w:sz w:val="24"/>
                <w:szCs w:val="24"/>
              </w:rPr>
              <w:t>……</w:t>
            </w:r>
          </w:p>
        </w:tc>
        <w:tc>
          <w:tcPr>
            <w:tcW w:w="4282" w:type="dxa"/>
            <w:noWrap/>
            <w:vAlign w:val="center"/>
          </w:tcPr>
          <w:p w14:paraId="73FD9777">
            <w:pPr>
              <w:spacing w:line="400" w:lineRule="exact"/>
              <w:jc w:val="center"/>
              <w:rPr>
                <w:rFonts w:ascii="宋体" w:hAnsi="宋体" w:cs="宋体"/>
                <w:sz w:val="24"/>
                <w:szCs w:val="24"/>
              </w:rPr>
            </w:pPr>
          </w:p>
        </w:tc>
        <w:tc>
          <w:tcPr>
            <w:tcW w:w="3225" w:type="dxa"/>
            <w:noWrap/>
            <w:vAlign w:val="center"/>
          </w:tcPr>
          <w:p w14:paraId="09FD76F6">
            <w:pPr>
              <w:spacing w:line="400" w:lineRule="exact"/>
              <w:jc w:val="center"/>
              <w:rPr>
                <w:rFonts w:ascii="宋体" w:hAnsi="宋体" w:cs="宋体"/>
                <w:sz w:val="24"/>
                <w:szCs w:val="24"/>
              </w:rPr>
            </w:pPr>
          </w:p>
        </w:tc>
      </w:tr>
      <w:tr w14:paraId="7395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73" w:hRule="atLeast"/>
          <w:jc w:val="center"/>
        </w:trPr>
        <w:tc>
          <w:tcPr>
            <w:tcW w:w="5241" w:type="dxa"/>
            <w:gridSpan w:val="2"/>
            <w:noWrap/>
            <w:vAlign w:val="center"/>
          </w:tcPr>
          <w:p w14:paraId="2634DFFA">
            <w:pPr>
              <w:spacing w:line="400" w:lineRule="exact"/>
              <w:jc w:val="center"/>
              <w:rPr>
                <w:rFonts w:ascii="宋体" w:hAnsi="宋体" w:cs="宋体"/>
                <w:sz w:val="24"/>
                <w:szCs w:val="24"/>
              </w:rPr>
            </w:pPr>
            <w:r>
              <w:rPr>
                <w:rFonts w:hint="eastAsia" w:ascii="宋体" w:hAnsi="宋体" w:cs="宋体"/>
                <w:b/>
                <w:bCs/>
                <w:sz w:val="24"/>
                <w:szCs w:val="24"/>
              </w:rPr>
              <w:t>总  价</w:t>
            </w:r>
          </w:p>
        </w:tc>
        <w:tc>
          <w:tcPr>
            <w:tcW w:w="3225" w:type="dxa"/>
            <w:noWrap/>
            <w:vAlign w:val="center"/>
          </w:tcPr>
          <w:p w14:paraId="58003417">
            <w:pPr>
              <w:spacing w:line="400" w:lineRule="exact"/>
              <w:jc w:val="center"/>
              <w:rPr>
                <w:rFonts w:ascii="宋体" w:hAnsi="宋体" w:cs="宋体"/>
                <w:sz w:val="24"/>
                <w:szCs w:val="24"/>
              </w:rPr>
            </w:pPr>
          </w:p>
        </w:tc>
      </w:tr>
    </w:tbl>
    <w:p w14:paraId="3FACD706">
      <w:pPr>
        <w:spacing w:line="71" w:lineRule="exact"/>
        <w:rPr>
          <w:color w:val="000000"/>
        </w:rPr>
      </w:pPr>
    </w:p>
    <w:p w14:paraId="4CEEA53D">
      <w:pPr>
        <w:spacing w:line="520" w:lineRule="exact"/>
        <w:ind w:firstLine="480" w:firstLineChars="200"/>
        <w:outlineLvl w:val="0"/>
        <w:rPr>
          <w:rFonts w:ascii="宋体" w:hAnsi="宋体" w:cs="宋体"/>
          <w:color w:val="000000"/>
          <w:sz w:val="24"/>
          <w:szCs w:val="24"/>
        </w:rPr>
      </w:pPr>
      <w:r>
        <w:rPr>
          <w:rFonts w:ascii="宋体" w:hAnsi="宋体" w:cs="宋体"/>
          <w:color w:val="000000"/>
          <w:sz w:val="24"/>
          <w:szCs w:val="24"/>
        </w:rPr>
        <w:t xml:space="preserve">1.4 </w:t>
      </w:r>
      <w:r>
        <w:rPr>
          <w:rFonts w:hint="eastAsia" w:ascii="宋体" w:hAnsi="宋体" w:cs="宋体"/>
          <w:b/>
          <w:bCs/>
          <w:sz w:val="24"/>
          <w:szCs w:val="24"/>
        </w:rPr>
        <w:t>付款方式和发票开具方式</w:t>
      </w:r>
    </w:p>
    <w:p w14:paraId="09B673C7">
      <w:pPr>
        <w:spacing w:line="520" w:lineRule="exact"/>
        <w:ind w:firstLine="480" w:firstLineChars="200"/>
        <w:rPr>
          <w:color w:val="000000"/>
          <w:sz w:val="24"/>
          <w:szCs w:val="24"/>
        </w:rPr>
      </w:pPr>
      <w:r>
        <w:rPr>
          <w:rFonts w:ascii="宋体" w:hAnsi="宋体" w:cs="宋体"/>
          <w:color w:val="000000"/>
          <w:sz w:val="24"/>
          <w:szCs w:val="24"/>
        </w:rPr>
        <w:t>1.4.1 付款方式：</w:t>
      </w:r>
      <w:r>
        <w:rPr>
          <w:rFonts w:hint="eastAsia" w:ascii="宋体" w:hAnsi="宋体" w:cs="宋体"/>
          <w:color w:val="000000"/>
          <w:sz w:val="24"/>
          <w:szCs w:val="24"/>
        </w:rPr>
        <w:t xml:space="preserve">项目验收合格后，发包人付清合同价款。   </w:t>
      </w:r>
    </w:p>
    <w:p w14:paraId="4D2D712B">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1.4.2 发票开具方式：</w:t>
      </w:r>
      <w:r>
        <w:rPr>
          <w:rFonts w:hint="eastAsia" w:ascii="宋体" w:hAnsi="宋体" w:cs="宋体"/>
          <w:color w:val="000000"/>
          <w:sz w:val="24"/>
          <w:szCs w:val="24"/>
        </w:rPr>
        <w:t>增值税发票</w:t>
      </w:r>
    </w:p>
    <w:p w14:paraId="7C51CC4A">
      <w:pPr>
        <w:spacing w:line="520" w:lineRule="exact"/>
        <w:ind w:firstLine="480" w:firstLineChars="200"/>
        <w:outlineLvl w:val="0"/>
        <w:rPr>
          <w:rFonts w:ascii="宋体" w:hAnsi="宋体" w:cs="宋体"/>
          <w:color w:val="000000"/>
          <w:sz w:val="24"/>
          <w:szCs w:val="24"/>
        </w:rPr>
      </w:pPr>
      <w:r>
        <w:rPr>
          <w:rFonts w:ascii="宋体" w:hAnsi="宋体" w:cs="宋体"/>
          <w:color w:val="000000"/>
          <w:sz w:val="24"/>
          <w:szCs w:val="24"/>
        </w:rPr>
        <w:t xml:space="preserve">1.5 </w:t>
      </w:r>
      <w:r>
        <w:rPr>
          <w:rFonts w:hint="eastAsia" w:ascii="宋体" w:hAnsi="宋体" w:cs="宋体"/>
          <w:b/>
          <w:bCs/>
          <w:sz w:val="24"/>
          <w:szCs w:val="24"/>
        </w:rPr>
        <w:t>货物交付期限、地点和方式</w:t>
      </w:r>
    </w:p>
    <w:p w14:paraId="5A4DBF60">
      <w:pPr>
        <w:spacing w:line="520" w:lineRule="exact"/>
        <w:ind w:firstLine="480" w:firstLineChars="200"/>
        <w:rPr>
          <w:rFonts w:ascii="宋体" w:hAnsi="宋体" w:cs="宋体"/>
          <w:color w:val="000000"/>
          <w:sz w:val="24"/>
          <w:szCs w:val="24"/>
        </w:rPr>
      </w:pPr>
      <w:r>
        <w:rPr>
          <w:rFonts w:ascii="宋体" w:hAnsi="宋体" w:cs="宋体"/>
          <w:color w:val="000000"/>
          <w:sz w:val="24"/>
          <w:szCs w:val="24"/>
        </w:rPr>
        <w:t xml:space="preserve">1.5.1 </w:t>
      </w:r>
      <w:r>
        <w:rPr>
          <w:rFonts w:hint="eastAsia" w:ascii="宋体" w:hAnsi="宋体" w:cs="宋体"/>
          <w:sz w:val="24"/>
          <w:szCs w:val="24"/>
        </w:rPr>
        <w:t>交付期限</w:t>
      </w:r>
      <w:r>
        <w:rPr>
          <w:rFonts w:ascii="宋体" w:hAnsi="宋体" w:cs="宋体"/>
          <w:color w:val="000000"/>
          <w:sz w:val="24"/>
          <w:szCs w:val="24"/>
        </w:rPr>
        <w:t>：</w:t>
      </w:r>
      <w:r>
        <w:rPr>
          <w:rFonts w:hint="eastAsia" w:ascii="宋体" w:hAnsi="宋体" w:cs="宋体"/>
          <w:color w:val="000000"/>
          <w:sz w:val="24"/>
          <w:szCs w:val="24"/>
        </w:rPr>
        <w:t>成交供应商须在合同签订生效后15个日历天内完成本项目全部建设内容（含供货、拆除、安装、调试）并交付发包人使用。</w:t>
      </w:r>
    </w:p>
    <w:p w14:paraId="55C29714">
      <w:pPr>
        <w:spacing w:line="520" w:lineRule="exact"/>
        <w:ind w:firstLine="480" w:firstLineChars="200"/>
        <w:rPr>
          <w:rFonts w:ascii="宋体" w:hAnsi="宋体" w:cs="宋体"/>
          <w:color w:val="000000"/>
          <w:sz w:val="24"/>
          <w:szCs w:val="24"/>
        </w:rPr>
      </w:pPr>
      <w:r>
        <w:rPr>
          <w:rFonts w:ascii="宋体" w:hAnsi="宋体" w:cs="宋体"/>
          <w:color w:val="000000"/>
          <w:sz w:val="24"/>
          <w:szCs w:val="24"/>
        </w:rPr>
        <w:t xml:space="preserve">1.5.2 </w:t>
      </w:r>
      <w:r>
        <w:rPr>
          <w:rFonts w:hint="eastAsia" w:ascii="宋体" w:hAnsi="宋体" w:cs="宋体"/>
          <w:color w:val="000000"/>
          <w:sz w:val="24"/>
          <w:szCs w:val="24"/>
        </w:rPr>
        <w:t>交付</w:t>
      </w:r>
      <w:r>
        <w:rPr>
          <w:rFonts w:ascii="宋体" w:hAnsi="宋体" w:cs="宋体"/>
          <w:color w:val="000000"/>
          <w:sz w:val="24"/>
          <w:szCs w:val="24"/>
        </w:rPr>
        <w:t>地点：</w:t>
      </w:r>
      <w:r>
        <w:rPr>
          <w:rFonts w:hint="eastAsia" w:ascii="宋体" w:hAnsi="宋体" w:cs="宋体"/>
          <w:color w:val="000000"/>
          <w:sz w:val="24"/>
          <w:szCs w:val="24"/>
        </w:rPr>
        <w:t>发包人指定地点；</w:t>
      </w:r>
    </w:p>
    <w:p w14:paraId="7929B941">
      <w:pPr>
        <w:spacing w:line="520" w:lineRule="exact"/>
        <w:ind w:firstLine="480" w:firstLineChars="200"/>
        <w:rPr>
          <w:rFonts w:ascii="宋体" w:hAnsi="宋体" w:cs="宋体"/>
          <w:color w:val="000000"/>
          <w:sz w:val="24"/>
          <w:szCs w:val="24"/>
        </w:rPr>
      </w:pPr>
      <w:r>
        <w:rPr>
          <w:rFonts w:ascii="宋体" w:hAnsi="宋体" w:cs="宋体"/>
          <w:color w:val="000000"/>
          <w:sz w:val="24"/>
          <w:szCs w:val="24"/>
        </w:rPr>
        <w:t xml:space="preserve">1.5.3 </w:t>
      </w:r>
      <w:r>
        <w:rPr>
          <w:rFonts w:hint="eastAsia" w:ascii="宋体" w:hAnsi="宋体" w:cs="宋体"/>
          <w:color w:val="000000"/>
          <w:sz w:val="24"/>
          <w:szCs w:val="24"/>
        </w:rPr>
        <w:t>交付</w:t>
      </w:r>
      <w:r>
        <w:rPr>
          <w:rFonts w:ascii="宋体" w:hAnsi="宋体" w:cs="宋体"/>
          <w:color w:val="000000"/>
          <w:sz w:val="24"/>
          <w:szCs w:val="24"/>
        </w:rPr>
        <w:t>方式：</w:t>
      </w:r>
      <w:r>
        <w:rPr>
          <w:rFonts w:hint="eastAsia" w:ascii="宋体" w:hAnsi="宋体" w:cs="宋体"/>
          <w:color w:val="000000"/>
          <w:sz w:val="24"/>
          <w:szCs w:val="24"/>
        </w:rPr>
        <w:t>现场交付。</w:t>
      </w:r>
    </w:p>
    <w:p w14:paraId="7968E190">
      <w:pPr>
        <w:spacing w:line="520" w:lineRule="exact"/>
        <w:ind w:firstLine="480" w:firstLineChars="200"/>
        <w:outlineLvl w:val="0"/>
        <w:rPr>
          <w:rFonts w:ascii="宋体" w:hAnsi="宋体" w:cs="宋体"/>
          <w:color w:val="000000"/>
          <w:sz w:val="24"/>
          <w:szCs w:val="24"/>
        </w:rPr>
      </w:pPr>
      <w:r>
        <w:rPr>
          <w:rFonts w:ascii="宋体" w:hAnsi="宋体" w:cs="宋体"/>
          <w:color w:val="000000"/>
          <w:sz w:val="24"/>
          <w:szCs w:val="24"/>
        </w:rPr>
        <w:t>1.6 违约责任</w:t>
      </w:r>
    </w:p>
    <w:p w14:paraId="1D8573CE">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1.6.1 除不可抗力外，如果乙方没有按照本合同约定的期限、地点和方式履行，那么甲方可要求乙方支付违约金，违约金按每迟延履行一日的应提供而未提供服务价格的</w:t>
      </w:r>
      <w:r>
        <w:rPr>
          <w:rFonts w:hint="eastAsia" w:ascii="宋体" w:hAnsi="宋体" w:cs="宋体"/>
          <w:color w:val="000000"/>
          <w:sz w:val="24"/>
          <w:szCs w:val="24"/>
          <w:u w:val="single"/>
        </w:rPr>
        <w:t>0.5</w:t>
      </w:r>
      <w:r>
        <w:rPr>
          <w:rFonts w:ascii="宋体" w:hAnsi="宋体" w:cs="宋体"/>
          <w:color w:val="000000"/>
          <w:sz w:val="24"/>
          <w:szCs w:val="24"/>
        </w:rPr>
        <w:t>%计算，最高限额为本合同总价的</w:t>
      </w:r>
      <w:r>
        <w:rPr>
          <w:rFonts w:hint="eastAsia" w:ascii="宋体" w:hAnsi="宋体" w:cs="宋体"/>
          <w:color w:val="000000"/>
          <w:sz w:val="24"/>
          <w:szCs w:val="24"/>
          <w:u w:val="single"/>
        </w:rPr>
        <w:t>5</w:t>
      </w:r>
      <w:r>
        <w:rPr>
          <w:rFonts w:ascii="宋体" w:hAnsi="宋体" w:cs="宋体"/>
          <w:color w:val="000000"/>
          <w:sz w:val="24"/>
          <w:szCs w:val="24"/>
        </w:rPr>
        <w:t>%；迟延履行的违约金计算数额达到前述最高限额之日起，甲方有权在要求乙方支付违约金的同时，书面通知乙方解除本合同；</w:t>
      </w:r>
    </w:p>
    <w:p w14:paraId="2CA4508D">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1.6.2 除不可抗力外，如果甲方没有按照本合同约定的付款方式付款，那么乙方可要求甲方支付违约金，违约金按每迟延付款一日的应付而未付款的</w:t>
      </w:r>
      <w:r>
        <w:rPr>
          <w:rFonts w:hint="eastAsia" w:ascii="宋体" w:hAnsi="宋体" w:cs="宋体"/>
          <w:color w:val="000000"/>
          <w:sz w:val="24"/>
          <w:szCs w:val="24"/>
          <w:u w:val="single"/>
        </w:rPr>
        <w:t>0.5</w:t>
      </w:r>
      <w:r>
        <w:rPr>
          <w:rFonts w:ascii="宋体" w:hAnsi="宋体" w:cs="宋体"/>
          <w:color w:val="000000"/>
          <w:sz w:val="24"/>
          <w:szCs w:val="24"/>
        </w:rPr>
        <w:t>%计算，最高限额为本合同总价的</w:t>
      </w:r>
      <w:r>
        <w:rPr>
          <w:rFonts w:hint="eastAsia" w:ascii="宋体" w:hAnsi="宋体" w:cs="宋体"/>
          <w:color w:val="000000"/>
          <w:sz w:val="24"/>
          <w:szCs w:val="24"/>
          <w:u w:val="single"/>
        </w:rPr>
        <w:t>5</w:t>
      </w:r>
      <w:r>
        <w:rPr>
          <w:rFonts w:ascii="宋体" w:hAnsi="宋体" w:cs="宋体"/>
          <w:color w:val="000000"/>
          <w:sz w:val="24"/>
          <w:szCs w:val="24"/>
        </w:rPr>
        <w:t>%；迟延付款的违约金计算数额达到前述最高限额之日起，乙方有权在要求甲方支付违约金的同时，书面通知甲方解除本合同；</w:t>
      </w:r>
    </w:p>
    <w:p w14:paraId="12C425E2">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69DDC1E">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D34E169">
      <w:pPr>
        <w:spacing w:line="520" w:lineRule="exact"/>
        <w:ind w:firstLine="480" w:firstLineChars="200"/>
        <w:rPr>
          <w:color w:val="000000"/>
          <w:sz w:val="24"/>
          <w:szCs w:val="24"/>
        </w:rPr>
      </w:pPr>
      <w:r>
        <w:rPr>
          <w:rFonts w:ascii="宋体" w:hAnsi="宋体" w:cs="宋体"/>
          <w:color w:val="000000"/>
          <w:sz w:val="24"/>
          <w:szCs w:val="24"/>
        </w:rPr>
        <w:t>1.6.5 除前述约定外， 除不可抗力外</w:t>
      </w:r>
      <w:r>
        <w:rPr>
          <w:rFonts w:hint="eastAsia" w:ascii="宋体" w:hAnsi="宋体" w:cs="宋体"/>
          <w:color w:val="000000"/>
          <w:sz w:val="24"/>
          <w:szCs w:val="24"/>
        </w:rPr>
        <w:t>，</w:t>
      </w:r>
      <w:r>
        <w:rPr>
          <w:rFonts w:ascii="宋体" w:hAnsi="宋体" w:cs="宋体"/>
          <w:color w:val="000000"/>
          <w:sz w:val="24"/>
          <w:szCs w:val="24"/>
        </w:rPr>
        <w:t>任何一方未能履行本合同约定的义务，对方当事人均有权要求继续履行、采取补救措施或者赔偿损失等，且对方当事人行使的任何权利救济方式均不视为其放弃了其他法定或者约定的权利救济方式；</w:t>
      </w:r>
    </w:p>
    <w:p w14:paraId="43D6D636">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1.6.6 如果出现政府采购监督管理部门在处理投诉事项期间，书面通知甲方暂停采购活动的情形，或者询问或质疑事项可能影响成交结果的，导致甲方中止履行合同的情形，均不视为甲方违约。</w:t>
      </w:r>
    </w:p>
    <w:p w14:paraId="28EA260C">
      <w:pPr>
        <w:spacing w:line="520" w:lineRule="exact"/>
        <w:ind w:firstLine="480" w:firstLineChars="200"/>
        <w:outlineLvl w:val="0"/>
        <w:rPr>
          <w:rFonts w:ascii="宋体" w:hAnsi="宋体" w:cs="宋体"/>
          <w:color w:val="000000"/>
          <w:sz w:val="24"/>
          <w:szCs w:val="24"/>
        </w:rPr>
      </w:pPr>
      <w:r>
        <w:rPr>
          <w:rFonts w:ascii="宋体" w:hAnsi="宋体" w:cs="宋体"/>
          <w:color w:val="000000"/>
          <w:sz w:val="24"/>
          <w:szCs w:val="24"/>
        </w:rPr>
        <w:t>1.7 合同争议的解决</w:t>
      </w:r>
    </w:p>
    <w:p w14:paraId="365980E4">
      <w:pPr>
        <w:spacing w:line="520" w:lineRule="exact"/>
        <w:ind w:firstLine="480" w:firstLineChars="200"/>
        <w:rPr>
          <w:rFonts w:ascii="宋体" w:hAnsi="宋体" w:cs="宋体"/>
          <w:color w:val="000000"/>
          <w:sz w:val="24"/>
          <w:szCs w:val="24"/>
        </w:rPr>
      </w:pPr>
      <w:r>
        <w:rPr>
          <w:rFonts w:ascii="宋体" w:hAnsi="宋体" w:cs="宋体"/>
          <w:color w:val="000000"/>
          <w:sz w:val="24"/>
          <w:szCs w:val="24"/>
        </w:rPr>
        <w:t>本合同履行过程中发生的任何争议，双方当事人均可通过和解或者调解解决； 不愿和解、调解或者和解、调解不成的，可以选择下列</w:t>
      </w:r>
      <w:r>
        <w:rPr>
          <w:rFonts w:hint="eastAsia" w:ascii="宋体" w:hAnsi="宋体" w:cs="宋体"/>
          <w:color w:val="000000"/>
          <w:sz w:val="24"/>
          <w:szCs w:val="24"/>
          <w:u w:val="single"/>
        </w:rPr>
        <w:t>1.7.2</w:t>
      </w:r>
      <w:r>
        <w:rPr>
          <w:rFonts w:ascii="宋体" w:hAnsi="宋体" w:cs="宋体"/>
          <w:color w:val="000000"/>
          <w:sz w:val="24"/>
          <w:szCs w:val="24"/>
        </w:rPr>
        <w:t>种方式解决：</w:t>
      </w:r>
    </w:p>
    <w:p w14:paraId="4239402F">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1.7.1 将争议提交仲裁委员会依申请仲裁时其现行有效的仲裁规则裁决；</w:t>
      </w:r>
    </w:p>
    <w:p w14:paraId="222EEB96">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1.7.2 向</w:t>
      </w:r>
      <w:r>
        <w:rPr>
          <w:rFonts w:hint="eastAsia" w:ascii="宋体" w:hAnsi="宋体" w:cs="宋体"/>
          <w:color w:val="000000"/>
          <w:sz w:val="24"/>
          <w:szCs w:val="24"/>
          <w:u w:val="single"/>
        </w:rPr>
        <w:t>项目所在地</w:t>
      </w:r>
      <w:r>
        <w:rPr>
          <w:rFonts w:ascii="宋体" w:hAnsi="宋体" w:cs="宋体"/>
          <w:color w:val="000000"/>
          <w:sz w:val="24"/>
          <w:szCs w:val="24"/>
        </w:rPr>
        <w:t>人民法院起诉。</w:t>
      </w:r>
    </w:p>
    <w:p w14:paraId="791C4148">
      <w:pPr>
        <w:spacing w:line="520" w:lineRule="exact"/>
        <w:ind w:firstLine="480" w:firstLineChars="200"/>
        <w:rPr>
          <w:rFonts w:ascii="宋体" w:hAnsi="宋体" w:cs="宋体"/>
          <w:color w:val="000000"/>
          <w:sz w:val="24"/>
          <w:szCs w:val="24"/>
        </w:rPr>
      </w:pPr>
      <w:r>
        <w:rPr>
          <w:rFonts w:ascii="宋体" w:hAnsi="宋体" w:cs="宋体"/>
          <w:color w:val="000000"/>
          <w:sz w:val="24"/>
          <w:szCs w:val="24"/>
        </w:rPr>
        <w:t>1.8 合同生效</w:t>
      </w:r>
    </w:p>
    <w:p w14:paraId="4D022624">
      <w:pPr>
        <w:spacing w:line="520" w:lineRule="exact"/>
        <w:ind w:firstLine="480" w:firstLineChars="200"/>
        <w:rPr>
          <w:rFonts w:ascii="宋体" w:hAnsi="宋体" w:cs="宋体"/>
          <w:color w:val="000000"/>
          <w:sz w:val="24"/>
          <w:szCs w:val="24"/>
        </w:rPr>
      </w:pPr>
      <w:r>
        <w:rPr>
          <w:rFonts w:ascii="宋体" w:hAnsi="宋体" w:cs="宋体"/>
          <w:color w:val="000000"/>
          <w:sz w:val="24"/>
          <w:szCs w:val="24"/>
        </w:rPr>
        <w:t>本合同自双方当事人盖章时生效。</w:t>
      </w:r>
    </w:p>
    <w:p w14:paraId="580B680F">
      <w:pPr>
        <w:spacing w:line="272" w:lineRule="auto"/>
        <w:rPr>
          <w:color w:val="000000"/>
        </w:rPr>
      </w:pPr>
    </w:p>
    <w:p w14:paraId="77DF07BC">
      <w:pPr>
        <w:rPr>
          <w:color w:val="000000"/>
        </w:rPr>
      </w:pPr>
      <w:r>
        <w:rPr>
          <w:color w:val="000000"/>
        </w:rPr>
        <w:br w:type="page"/>
      </w:r>
    </w:p>
    <w:p w14:paraId="6433CEBC">
      <w:pPr>
        <w:pStyle w:val="22"/>
        <w:ind w:firstLine="0" w:firstLineChars="0"/>
        <w:rPr>
          <w:rFonts w:ascii="宋体" w:hAnsi="宋体" w:eastAsia="宋体" w:cs="宋体"/>
          <w:color w:val="000000"/>
        </w:rPr>
      </w:pPr>
    </w:p>
    <w:p w14:paraId="4B16E265">
      <w:pPr>
        <w:pStyle w:val="22"/>
        <w:ind w:firstLine="0" w:firstLineChars="0"/>
        <w:rPr>
          <w:rFonts w:ascii="宋体" w:hAnsi="宋体" w:eastAsia="宋体" w:cs="宋体"/>
          <w:color w:val="000000"/>
        </w:rPr>
      </w:pPr>
      <w:r>
        <w:rPr>
          <w:rFonts w:hint="eastAsia" w:ascii="宋体" w:hAnsi="宋体" w:eastAsia="宋体" w:cs="宋体"/>
          <w:color w:val="000000"/>
        </w:rPr>
        <w:t>（签字盖章页）</w:t>
      </w:r>
    </w:p>
    <w:p w14:paraId="55107B40">
      <w:pPr>
        <w:pStyle w:val="22"/>
        <w:ind w:firstLine="0" w:firstLineChars="0"/>
        <w:rPr>
          <w:rFonts w:ascii="宋体" w:hAnsi="宋体" w:eastAsia="宋体" w:cs="宋体"/>
          <w:color w:val="000000"/>
        </w:rPr>
      </w:pPr>
    </w:p>
    <w:tbl>
      <w:tblPr>
        <w:tblStyle w:val="24"/>
        <w:tblW w:w="8388" w:type="dxa"/>
        <w:jc w:val="center"/>
        <w:tblLayout w:type="fixed"/>
        <w:tblCellMar>
          <w:top w:w="0" w:type="dxa"/>
          <w:left w:w="108" w:type="dxa"/>
          <w:bottom w:w="0" w:type="dxa"/>
          <w:right w:w="108" w:type="dxa"/>
        </w:tblCellMar>
      </w:tblPr>
      <w:tblGrid>
        <w:gridCol w:w="8388"/>
      </w:tblGrid>
      <w:tr w14:paraId="1008D690">
        <w:tblPrEx>
          <w:tblCellMar>
            <w:top w:w="0" w:type="dxa"/>
            <w:left w:w="108" w:type="dxa"/>
            <w:bottom w:w="0" w:type="dxa"/>
            <w:right w:w="108" w:type="dxa"/>
          </w:tblCellMar>
        </w:tblPrEx>
        <w:trPr>
          <w:trHeight w:val="608" w:hRule="atLeast"/>
          <w:jc w:val="center"/>
        </w:trPr>
        <w:tc>
          <w:tcPr>
            <w:tcW w:w="8388" w:type="dxa"/>
            <w:noWrap/>
            <w:vAlign w:val="center"/>
          </w:tcPr>
          <w:p w14:paraId="77C082E4">
            <w:pPr>
              <w:spacing w:before="156" w:after="93" w:line="440" w:lineRule="exact"/>
              <w:rPr>
                <w:rFonts w:ascii="宋体" w:hAnsi="宋体" w:eastAsia="黑体" w:cs="宋体"/>
                <w:color w:val="000000"/>
                <w:sz w:val="24"/>
                <w:szCs w:val="24"/>
                <w:u w:val="single"/>
              </w:rPr>
            </w:pPr>
            <w:r>
              <w:rPr>
                <w:rFonts w:hint="eastAsia" w:ascii="黑体" w:hAnsi="黑体" w:eastAsia="黑体" w:cs="黑体"/>
                <w:color w:val="000000"/>
                <w:sz w:val="24"/>
                <w:szCs w:val="24"/>
              </w:rPr>
              <w:t>甲方（</w:t>
            </w:r>
            <w:r>
              <w:rPr>
                <w:rFonts w:hint="eastAsia" w:ascii="宋体" w:hAnsi="宋体" w:cs="宋体"/>
                <w:color w:val="000000"/>
                <w:sz w:val="24"/>
                <w:szCs w:val="24"/>
              </w:rPr>
              <w:t>盖章</w:t>
            </w:r>
            <w:r>
              <w:rPr>
                <w:rFonts w:hint="eastAsia" w:ascii="黑体" w:hAnsi="黑体" w:eastAsia="黑体" w:cs="黑体"/>
                <w:color w:val="000000"/>
                <w:sz w:val="24"/>
                <w:szCs w:val="24"/>
              </w:rPr>
              <w:t>）：</w:t>
            </w:r>
          </w:p>
        </w:tc>
      </w:tr>
      <w:tr w14:paraId="7DA39751">
        <w:tblPrEx>
          <w:tblCellMar>
            <w:top w:w="0" w:type="dxa"/>
            <w:left w:w="108" w:type="dxa"/>
            <w:bottom w:w="0" w:type="dxa"/>
            <w:right w:w="108" w:type="dxa"/>
          </w:tblCellMar>
        </w:tblPrEx>
        <w:trPr>
          <w:jc w:val="center"/>
        </w:trPr>
        <w:tc>
          <w:tcPr>
            <w:tcW w:w="8388" w:type="dxa"/>
            <w:noWrap/>
            <w:vAlign w:val="center"/>
          </w:tcPr>
          <w:p w14:paraId="57A83D2B">
            <w:pPr>
              <w:spacing w:before="156" w:after="93" w:line="440" w:lineRule="exact"/>
              <w:rPr>
                <w:rFonts w:ascii="宋体" w:hAnsi="宋体" w:cs="宋体"/>
                <w:color w:val="000000"/>
                <w:sz w:val="24"/>
                <w:szCs w:val="24"/>
              </w:rPr>
            </w:pPr>
            <w:r>
              <w:rPr>
                <w:rFonts w:hint="eastAsia" w:ascii="宋体" w:hAnsi="宋体" w:cs="宋体"/>
                <w:color w:val="000000"/>
                <w:sz w:val="24"/>
                <w:szCs w:val="24"/>
              </w:rPr>
              <w:t>法定代表人</w:t>
            </w:r>
          </w:p>
          <w:p w14:paraId="61AB76EE">
            <w:pPr>
              <w:spacing w:before="156" w:after="93" w:line="440" w:lineRule="exact"/>
              <w:rPr>
                <w:rFonts w:ascii="宋体" w:hAnsi="宋体" w:cs="宋体"/>
                <w:color w:val="000000"/>
                <w:sz w:val="24"/>
                <w:szCs w:val="24"/>
              </w:rPr>
            </w:pPr>
            <w:r>
              <w:rPr>
                <w:rFonts w:hint="eastAsia" w:ascii="宋体" w:hAnsi="宋体" w:cs="宋体"/>
                <w:color w:val="000000"/>
                <w:sz w:val="24"/>
                <w:szCs w:val="24"/>
              </w:rPr>
              <w:t>或授权代表签字：</w:t>
            </w:r>
          </w:p>
        </w:tc>
      </w:tr>
      <w:tr w14:paraId="67D4A2FA">
        <w:tblPrEx>
          <w:tblCellMar>
            <w:top w:w="0" w:type="dxa"/>
            <w:left w:w="108" w:type="dxa"/>
            <w:bottom w:w="0" w:type="dxa"/>
            <w:right w:w="108" w:type="dxa"/>
          </w:tblCellMar>
        </w:tblPrEx>
        <w:trPr>
          <w:trHeight w:val="636" w:hRule="atLeast"/>
          <w:jc w:val="center"/>
        </w:trPr>
        <w:tc>
          <w:tcPr>
            <w:tcW w:w="8388" w:type="dxa"/>
            <w:noWrap/>
            <w:vAlign w:val="center"/>
          </w:tcPr>
          <w:p w14:paraId="29BDDBC3">
            <w:pPr>
              <w:spacing w:before="156" w:after="93" w:line="440" w:lineRule="exact"/>
              <w:rPr>
                <w:rFonts w:ascii="宋体" w:hAnsi="宋体" w:cs="宋体"/>
                <w:color w:val="000000"/>
                <w:sz w:val="24"/>
                <w:szCs w:val="24"/>
              </w:rPr>
            </w:pPr>
            <w:r>
              <w:rPr>
                <w:rFonts w:hint="eastAsia" w:ascii="宋体" w:hAnsi="宋体" w:cs="宋体"/>
                <w:color w:val="000000"/>
                <w:sz w:val="24"/>
                <w:szCs w:val="24"/>
              </w:rPr>
              <w:t>日期：    年  月  日</w:t>
            </w:r>
          </w:p>
        </w:tc>
      </w:tr>
      <w:tr w14:paraId="5C6459E5">
        <w:tblPrEx>
          <w:tblCellMar>
            <w:top w:w="0" w:type="dxa"/>
            <w:left w:w="108" w:type="dxa"/>
            <w:bottom w:w="0" w:type="dxa"/>
            <w:right w:w="108" w:type="dxa"/>
          </w:tblCellMar>
        </w:tblPrEx>
        <w:trPr>
          <w:trHeight w:val="636" w:hRule="atLeast"/>
          <w:jc w:val="center"/>
        </w:trPr>
        <w:tc>
          <w:tcPr>
            <w:tcW w:w="8388" w:type="dxa"/>
            <w:noWrap/>
            <w:vAlign w:val="center"/>
          </w:tcPr>
          <w:p w14:paraId="0A38467C">
            <w:pPr>
              <w:spacing w:before="156" w:after="93" w:line="440" w:lineRule="exact"/>
              <w:rPr>
                <w:rFonts w:ascii="宋体" w:hAnsi="宋体" w:cs="宋体"/>
                <w:color w:val="000000"/>
                <w:sz w:val="24"/>
                <w:szCs w:val="24"/>
              </w:rPr>
            </w:pPr>
          </w:p>
        </w:tc>
      </w:tr>
      <w:tr w14:paraId="6F926B5E">
        <w:tblPrEx>
          <w:tblCellMar>
            <w:top w:w="0" w:type="dxa"/>
            <w:left w:w="108" w:type="dxa"/>
            <w:bottom w:w="0" w:type="dxa"/>
            <w:right w:w="108" w:type="dxa"/>
          </w:tblCellMar>
        </w:tblPrEx>
        <w:trPr>
          <w:trHeight w:val="636" w:hRule="atLeast"/>
          <w:jc w:val="center"/>
        </w:trPr>
        <w:tc>
          <w:tcPr>
            <w:tcW w:w="8388" w:type="dxa"/>
            <w:noWrap/>
            <w:vAlign w:val="center"/>
          </w:tcPr>
          <w:p w14:paraId="3284C628">
            <w:pPr>
              <w:spacing w:before="156" w:after="93" w:line="440" w:lineRule="exact"/>
              <w:rPr>
                <w:rFonts w:ascii="黑体" w:hAnsi="黑体" w:eastAsia="黑体" w:cs="黑体"/>
                <w:color w:val="000000"/>
                <w:sz w:val="24"/>
                <w:szCs w:val="24"/>
              </w:rPr>
            </w:pPr>
            <w:r>
              <w:rPr>
                <w:rFonts w:hint="eastAsia" w:ascii="黑体" w:hAnsi="黑体" w:eastAsia="黑体" w:cs="黑体"/>
                <w:color w:val="000000"/>
                <w:sz w:val="24"/>
                <w:szCs w:val="24"/>
              </w:rPr>
              <w:t>乙方（</w:t>
            </w:r>
            <w:r>
              <w:rPr>
                <w:rFonts w:hint="eastAsia" w:ascii="宋体" w:hAnsi="宋体" w:cs="宋体"/>
                <w:color w:val="000000"/>
                <w:sz w:val="24"/>
                <w:szCs w:val="24"/>
              </w:rPr>
              <w:t>盖章</w:t>
            </w:r>
            <w:r>
              <w:rPr>
                <w:rFonts w:hint="eastAsia" w:ascii="黑体" w:hAnsi="黑体" w:eastAsia="黑体" w:cs="黑体"/>
                <w:color w:val="000000"/>
                <w:sz w:val="24"/>
                <w:szCs w:val="24"/>
              </w:rPr>
              <w:t>）：</w:t>
            </w:r>
          </w:p>
        </w:tc>
      </w:tr>
      <w:tr w14:paraId="2748EF7A">
        <w:tblPrEx>
          <w:tblCellMar>
            <w:top w:w="0" w:type="dxa"/>
            <w:left w:w="108" w:type="dxa"/>
            <w:bottom w:w="0" w:type="dxa"/>
            <w:right w:w="108" w:type="dxa"/>
          </w:tblCellMar>
        </w:tblPrEx>
        <w:trPr>
          <w:trHeight w:val="636" w:hRule="atLeast"/>
          <w:jc w:val="center"/>
        </w:trPr>
        <w:tc>
          <w:tcPr>
            <w:tcW w:w="8388" w:type="dxa"/>
            <w:noWrap/>
            <w:vAlign w:val="center"/>
          </w:tcPr>
          <w:p w14:paraId="37D6B356">
            <w:pPr>
              <w:spacing w:before="156" w:after="93" w:line="440" w:lineRule="exact"/>
              <w:rPr>
                <w:rFonts w:ascii="宋体" w:hAnsi="宋体" w:cs="宋体"/>
                <w:color w:val="000000"/>
                <w:sz w:val="24"/>
                <w:szCs w:val="24"/>
              </w:rPr>
            </w:pPr>
            <w:r>
              <w:rPr>
                <w:rFonts w:hint="eastAsia" w:ascii="宋体" w:hAnsi="宋体" w:cs="宋体"/>
                <w:color w:val="000000"/>
                <w:sz w:val="24"/>
                <w:szCs w:val="24"/>
              </w:rPr>
              <w:t>法定代表人</w:t>
            </w:r>
          </w:p>
          <w:p w14:paraId="67F4620A">
            <w:pPr>
              <w:spacing w:before="156" w:after="93" w:line="440" w:lineRule="exact"/>
              <w:rPr>
                <w:rFonts w:ascii="宋体" w:hAnsi="宋体" w:cs="宋体"/>
                <w:color w:val="000000"/>
                <w:sz w:val="24"/>
                <w:szCs w:val="24"/>
              </w:rPr>
            </w:pPr>
            <w:r>
              <w:rPr>
                <w:rFonts w:hint="eastAsia" w:ascii="宋体" w:hAnsi="宋体" w:cs="宋体"/>
                <w:color w:val="000000"/>
                <w:sz w:val="24"/>
                <w:szCs w:val="24"/>
              </w:rPr>
              <w:t>或授权代表签字：</w:t>
            </w:r>
          </w:p>
        </w:tc>
      </w:tr>
      <w:tr w14:paraId="70504904">
        <w:tblPrEx>
          <w:tblCellMar>
            <w:top w:w="0" w:type="dxa"/>
            <w:left w:w="108" w:type="dxa"/>
            <w:bottom w:w="0" w:type="dxa"/>
            <w:right w:w="108" w:type="dxa"/>
          </w:tblCellMar>
        </w:tblPrEx>
        <w:trPr>
          <w:trHeight w:val="636" w:hRule="atLeast"/>
          <w:jc w:val="center"/>
        </w:trPr>
        <w:tc>
          <w:tcPr>
            <w:tcW w:w="8388" w:type="dxa"/>
            <w:noWrap/>
            <w:vAlign w:val="center"/>
          </w:tcPr>
          <w:p w14:paraId="3DCD6A50">
            <w:pPr>
              <w:spacing w:before="156" w:after="93" w:line="440" w:lineRule="exact"/>
              <w:rPr>
                <w:rFonts w:ascii="宋体" w:hAnsi="宋体" w:cs="宋体"/>
                <w:color w:val="000000"/>
                <w:sz w:val="24"/>
                <w:szCs w:val="24"/>
              </w:rPr>
            </w:pPr>
            <w:r>
              <w:rPr>
                <w:rFonts w:hint="eastAsia" w:ascii="宋体" w:hAnsi="宋体" w:cs="宋体"/>
                <w:color w:val="000000"/>
                <w:sz w:val="24"/>
                <w:szCs w:val="24"/>
              </w:rPr>
              <w:t>日期：    年  月  日</w:t>
            </w:r>
          </w:p>
        </w:tc>
      </w:tr>
      <w:tr w14:paraId="2065FF59">
        <w:tblPrEx>
          <w:tblCellMar>
            <w:top w:w="0" w:type="dxa"/>
            <w:left w:w="108" w:type="dxa"/>
            <w:bottom w:w="0" w:type="dxa"/>
            <w:right w:w="108" w:type="dxa"/>
          </w:tblCellMar>
        </w:tblPrEx>
        <w:trPr>
          <w:trHeight w:val="636" w:hRule="atLeast"/>
          <w:jc w:val="center"/>
        </w:trPr>
        <w:tc>
          <w:tcPr>
            <w:tcW w:w="8388" w:type="dxa"/>
            <w:noWrap/>
            <w:vAlign w:val="center"/>
          </w:tcPr>
          <w:p w14:paraId="1770033D">
            <w:pPr>
              <w:spacing w:before="156" w:after="93" w:line="440" w:lineRule="exact"/>
              <w:rPr>
                <w:rFonts w:ascii="宋体" w:hAnsi="宋体" w:cs="宋体"/>
                <w:color w:val="000000"/>
                <w:sz w:val="24"/>
                <w:szCs w:val="24"/>
              </w:rPr>
            </w:pPr>
          </w:p>
        </w:tc>
      </w:tr>
    </w:tbl>
    <w:p w14:paraId="419BDD00">
      <w:pPr>
        <w:rPr>
          <w:rFonts w:ascii="宋体" w:hAnsi="宋体" w:cs="宋体"/>
          <w:color w:val="000000"/>
          <w:sz w:val="24"/>
          <w:szCs w:val="24"/>
        </w:rPr>
      </w:pPr>
      <w:r>
        <w:rPr>
          <w:rFonts w:ascii="宋体" w:hAnsi="宋体" w:cs="宋体"/>
          <w:color w:val="000000"/>
          <w:sz w:val="24"/>
          <w:szCs w:val="24"/>
        </w:rPr>
        <w:br w:type="page"/>
      </w:r>
    </w:p>
    <w:p w14:paraId="515E37E3">
      <w:pPr>
        <w:jc w:val="center"/>
        <w:rPr>
          <w:rFonts w:ascii="宋体" w:hAnsi="宋体" w:cs="宋体"/>
          <w:b/>
          <w:bCs/>
          <w:sz w:val="24"/>
          <w:szCs w:val="24"/>
        </w:rPr>
      </w:pPr>
      <w:r>
        <w:rPr>
          <w:rFonts w:hint="eastAsia" w:ascii="宋体" w:hAnsi="宋体" w:cs="宋体"/>
          <w:b/>
          <w:bCs/>
          <w:sz w:val="24"/>
          <w:szCs w:val="24"/>
        </w:rPr>
        <w:t>第二部分 合同一般条款</w:t>
      </w:r>
    </w:p>
    <w:p w14:paraId="659C91F8">
      <w:pPr>
        <w:spacing w:line="540" w:lineRule="exact"/>
        <w:ind w:firstLine="480" w:firstLineChars="200"/>
        <w:outlineLvl w:val="0"/>
        <w:rPr>
          <w:rFonts w:ascii="宋体" w:hAnsi="宋体" w:cs="宋体"/>
          <w:sz w:val="24"/>
          <w:szCs w:val="24"/>
        </w:rPr>
      </w:pPr>
      <w:bookmarkStart w:id="88" w:name="_Toc1216"/>
      <w:r>
        <w:rPr>
          <w:rFonts w:hint="eastAsia" w:ascii="宋体" w:hAnsi="宋体" w:cs="宋体"/>
          <w:sz w:val="24"/>
          <w:szCs w:val="24"/>
        </w:rPr>
        <w:t>2.1 定义</w:t>
      </w:r>
      <w:bookmarkEnd w:id="88"/>
    </w:p>
    <w:p w14:paraId="313BD7EE">
      <w:pPr>
        <w:spacing w:line="540" w:lineRule="exact"/>
        <w:ind w:firstLine="480" w:firstLineChars="200"/>
        <w:rPr>
          <w:rFonts w:ascii="宋体" w:hAnsi="宋体" w:cs="宋体"/>
          <w:sz w:val="24"/>
          <w:szCs w:val="24"/>
        </w:rPr>
      </w:pPr>
      <w:r>
        <w:rPr>
          <w:rFonts w:hint="eastAsia" w:ascii="宋体" w:hAnsi="宋体" w:cs="宋体"/>
          <w:sz w:val="24"/>
          <w:szCs w:val="24"/>
        </w:rPr>
        <w:t>本合同中的下列词语应按以下内容进行解释：</w:t>
      </w:r>
    </w:p>
    <w:p w14:paraId="1551C582">
      <w:pPr>
        <w:spacing w:line="540" w:lineRule="exact"/>
        <w:ind w:firstLine="480" w:firstLineChars="200"/>
        <w:rPr>
          <w:rFonts w:ascii="宋体" w:hAnsi="宋体" w:cs="宋体"/>
          <w:sz w:val="24"/>
          <w:szCs w:val="24"/>
        </w:rPr>
      </w:pPr>
      <w:r>
        <w:rPr>
          <w:rFonts w:hint="eastAsia" w:ascii="宋体" w:hAnsi="宋体" w:cs="宋体"/>
          <w:sz w:val="24"/>
          <w:szCs w:val="24"/>
        </w:rPr>
        <w:t>2.1.1“合同”系指采购人和成交供应商签订的载明双方当事人所达成的协议，并包括所有的附件、附录和构成合同的其他文件。</w:t>
      </w:r>
    </w:p>
    <w:p w14:paraId="6E75C756">
      <w:pPr>
        <w:spacing w:line="540" w:lineRule="exact"/>
        <w:ind w:firstLine="480" w:firstLineChars="200"/>
        <w:rPr>
          <w:rFonts w:ascii="宋体" w:hAnsi="宋体" w:cs="宋体"/>
          <w:sz w:val="24"/>
          <w:szCs w:val="24"/>
        </w:rPr>
      </w:pPr>
      <w:r>
        <w:rPr>
          <w:rFonts w:hint="eastAsia" w:ascii="宋体" w:hAnsi="宋体" w:cs="宋体"/>
          <w:sz w:val="24"/>
          <w:szCs w:val="24"/>
        </w:rPr>
        <w:t>2.1.2“合同价”系指根据合同约定，成交供应商在完全履行合同义务后，采购人应支付给成交供应商的价格。</w:t>
      </w:r>
    </w:p>
    <w:p w14:paraId="4CD1544B">
      <w:pPr>
        <w:spacing w:line="540" w:lineRule="exact"/>
        <w:ind w:firstLine="480" w:firstLineChars="200"/>
        <w:rPr>
          <w:rFonts w:ascii="宋体" w:hAnsi="宋体" w:cs="宋体"/>
          <w:sz w:val="24"/>
          <w:szCs w:val="24"/>
        </w:rPr>
      </w:pPr>
      <w:r>
        <w:rPr>
          <w:rFonts w:hint="eastAsia" w:ascii="宋体" w:hAnsi="宋体" w:cs="宋体"/>
          <w:sz w:val="24"/>
          <w:szCs w:val="24"/>
        </w:rPr>
        <w:t>2.1.3“货物”系指成交供应商根据合同约定应向采购人交付的一切各种形态和种类的物品，包括原材料、燃料、设备、机械、仪表、备件、计算机软件、产品等，并包括工具、手册等其他相关资料。</w:t>
      </w:r>
    </w:p>
    <w:p w14:paraId="12FA955F">
      <w:pPr>
        <w:spacing w:line="540" w:lineRule="exact"/>
        <w:ind w:firstLine="480" w:firstLineChars="200"/>
        <w:rPr>
          <w:rFonts w:ascii="宋体" w:hAnsi="宋体" w:cs="宋体"/>
          <w:sz w:val="24"/>
          <w:szCs w:val="24"/>
        </w:rPr>
      </w:pPr>
      <w:r>
        <w:rPr>
          <w:rFonts w:hint="eastAsia" w:ascii="宋体" w:hAnsi="宋体" w:cs="宋体"/>
          <w:sz w:val="24"/>
          <w:szCs w:val="24"/>
        </w:rPr>
        <w:t>2.1.4“甲方”系指与成交供应商签署合同的采购人；采购人委托采购代理机构代表其与乙方签订合同的，采购人的授权委托书作为合同附件。</w:t>
      </w:r>
    </w:p>
    <w:p w14:paraId="1869F626">
      <w:pPr>
        <w:spacing w:line="540" w:lineRule="exact"/>
        <w:ind w:firstLine="480" w:firstLineChars="200"/>
        <w:rPr>
          <w:rFonts w:ascii="宋体" w:hAnsi="宋体" w:cs="宋体"/>
          <w:sz w:val="24"/>
          <w:szCs w:val="24"/>
        </w:rPr>
      </w:pPr>
      <w:r>
        <w:rPr>
          <w:rFonts w:hint="eastAsia" w:ascii="宋体" w:hAnsi="宋体" w:cs="宋体"/>
          <w:sz w:val="24"/>
          <w:szCs w:val="24"/>
        </w:rPr>
        <w:t>2.1.5“乙方”系指根据合同约定交付货物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0105C573">
      <w:pPr>
        <w:spacing w:line="540" w:lineRule="exact"/>
        <w:ind w:firstLine="480" w:firstLineChars="200"/>
        <w:rPr>
          <w:rFonts w:ascii="宋体" w:hAnsi="宋体" w:cs="宋体"/>
          <w:sz w:val="24"/>
          <w:szCs w:val="24"/>
        </w:rPr>
      </w:pPr>
      <w:r>
        <w:rPr>
          <w:rFonts w:hint="eastAsia" w:ascii="宋体" w:hAnsi="宋体" w:cs="宋体"/>
          <w:sz w:val="24"/>
          <w:szCs w:val="24"/>
        </w:rPr>
        <w:t>2.1.6“现场”系指合同约定货物将要运至或者安装的地点。</w:t>
      </w:r>
    </w:p>
    <w:p w14:paraId="1BC8A4E5">
      <w:pPr>
        <w:spacing w:line="540" w:lineRule="exact"/>
        <w:ind w:firstLine="480" w:firstLineChars="200"/>
        <w:outlineLvl w:val="0"/>
        <w:rPr>
          <w:rFonts w:ascii="宋体" w:hAnsi="宋体" w:cs="宋体"/>
          <w:sz w:val="24"/>
          <w:szCs w:val="24"/>
        </w:rPr>
      </w:pPr>
      <w:bookmarkStart w:id="89" w:name="_Toc13825"/>
      <w:r>
        <w:rPr>
          <w:rFonts w:hint="eastAsia" w:ascii="宋体" w:hAnsi="宋体" w:cs="宋体"/>
          <w:sz w:val="24"/>
          <w:szCs w:val="24"/>
        </w:rPr>
        <w:t>2.2 技术规范</w:t>
      </w:r>
      <w:bookmarkEnd w:id="89"/>
    </w:p>
    <w:p w14:paraId="120340F3">
      <w:pPr>
        <w:spacing w:line="540" w:lineRule="exact"/>
        <w:ind w:firstLine="480" w:firstLineChars="200"/>
        <w:rPr>
          <w:rFonts w:ascii="宋体" w:hAnsi="宋体" w:cs="宋体"/>
          <w:sz w:val="24"/>
          <w:szCs w:val="24"/>
        </w:rPr>
      </w:pPr>
      <w:r>
        <w:rPr>
          <w:rFonts w:hint="eastAsia" w:ascii="宋体" w:hAnsi="宋体" w:cs="宋体"/>
          <w:sz w:val="24"/>
          <w:szCs w:val="24"/>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3938C962">
      <w:pPr>
        <w:spacing w:line="540" w:lineRule="exact"/>
        <w:ind w:firstLine="480" w:firstLineChars="200"/>
        <w:outlineLvl w:val="0"/>
        <w:rPr>
          <w:rFonts w:ascii="宋体" w:hAnsi="宋体" w:cs="宋体"/>
          <w:sz w:val="24"/>
          <w:szCs w:val="24"/>
        </w:rPr>
      </w:pPr>
      <w:bookmarkStart w:id="90" w:name="_Toc27637"/>
      <w:r>
        <w:rPr>
          <w:rFonts w:hint="eastAsia" w:ascii="宋体" w:hAnsi="宋体" w:cs="宋体"/>
          <w:sz w:val="24"/>
          <w:szCs w:val="24"/>
        </w:rPr>
        <w:t>2.3 知识产权</w:t>
      </w:r>
      <w:bookmarkEnd w:id="90"/>
    </w:p>
    <w:p w14:paraId="6BB75CD5">
      <w:pPr>
        <w:spacing w:line="540" w:lineRule="exact"/>
        <w:ind w:firstLine="480" w:firstLineChars="200"/>
        <w:rPr>
          <w:rFonts w:ascii="宋体" w:hAnsi="宋体" w:cs="宋体"/>
          <w:sz w:val="24"/>
          <w:szCs w:val="24"/>
        </w:rPr>
      </w:pPr>
      <w:r>
        <w:rPr>
          <w:rFonts w:hint="eastAsia" w:ascii="宋体" w:hAnsi="宋体" w:cs="宋体"/>
          <w:sz w:val="24"/>
          <w:szCs w:val="24"/>
        </w:rPr>
        <w:t>2.3.1 乙方应保证甲方在使用该货物或其任何一部分时不受任何第三方提出 的侵犯其著作权、商标权、专利权等知识产权方面的起诉；如果任何第三方提出侵权指控，那么乙方须与该第三方交涉并承担由此发生的一切责任、费用和赔偿；</w:t>
      </w:r>
    </w:p>
    <w:p w14:paraId="0669E9AD">
      <w:pPr>
        <w:spacing w:line="540" w:lineRule="exact"/>
        <w:ind w:firstLine="480" w:firstLineChars="200"/>
        <w:rPr>
          <w:rFonts w:ascii="宋体" w:hAnsi="宋体" w:cs="宋体"/>
          <w:sz w:val="24"/>
          <w:szCs w:val="24"/>
        </w:rPr>
      </w:pPr>
      <w:r>
        <w:rPr>
          <w:rFonts w:hint="eastAsia" w:ascii="宋体" w:hAnsi="宋体" w:cs="宋体"/>
          <w:sz w:val="24"/>
          <w:szCs w:val="24"/>
        </w:rPr>
        <w:t>2.3.2 具有知识产权的计算机软件等货物的知识产权归属，详见</w:t>
      </w:r>
      <w:r>
        <w:rPr>
          <w:rFonts w:hint="eastAsia" w:ascii="宋体" w:hAnsi="宋体" w:cs="宋体"/>
          <w:sz w:val="24"/>
          <w:szCs w:val="24"/>
          <w:u w:val="single"/>
        </w:rPr>
        <w:t>合同专用条款。</w:t>
      </w:r>
    </w:p>
    <w:p w14:paraId="4E4EEBE1">
      <w:pPr>
        <w:spacing w:line="540" w:lineRule="exact"/>
        <w:ind w:firstLine="480" w:firstLineChars="200"/>
        <w:rPr>
          <w:rFonts w:ascii="宋体" w:hAnsi="宋体" w:cs="宋体"/>
          <w:sz w:val="24"/>
          <w:szCs w:val="24"/>
        </w:rPr>
      </w:pPr>
      <w:r>
        <w:rPr>
          <w:rFonts w:hint="eastAsia" w:ascii="宋体" w:hAnsi="宋体" w:cs="宋体"/>
          <w:sz w:val="24"/>
          <w:szCs w:val="24"/>
        </w:rPr>
        <w:t>2.4 包装和装运</w:t>
      </w:r>
    </w:p>
    <w:p w14:paraId="46E092EC">
      <w:pPr>
        <w:spacing w:line="540" w:lineRule="exact"/>
        <w:ind w:firstLine="480" w:firstLineChars="200"/>
        <w:rPr>
          <w:rFonts w:ascii="宋体" w:hAnsi="宋体" w:cs="宋体"/>
          <w:sz w:val="24"/>
          <w:szCs w:val="24"/>
        </w:rPr>
      </w:pPr>
      <w:r>
        <w:rPr>
          <w:rFonts w:hint="eastAsia" w:ascii="宋体" w:hAnsi="宋体" w:cs="宋体"/>
          <w:sz w:val="24"/>
          <w:szCs w:val="24"/>
        </w:rPr>
        <w:t>2.4.1 除</w:t>
      </w:r>
      <w:r>
        <w:rPr>
          <w:rFonts w:hint="eastAsia" w:ascii="宋体" w:hAnsi="宋体" w:cs="宋体"/>
          <w:sz w:val="24"/>
          <w:szCs w:val="24"/>
          <w:u w:val="single"/>
        </w:rPr>
        <w:t>合同专用条款</w:t>
      </w:r>
      <w:r>
        <w:rPr>
          <w:rFonts w:hint="eastAsia" w:ascii="宋体" w:hAnsi="宋体" w:cs="宋体"/>
          <w:sz w:val="24"/>
          <w:szCs w:val="24"/>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5ED6515A">
      <w:pPr>
        <w:spacing w:line="540" w:lineRule="exact"/>
        <w:ind w:firstLine="480" w:firstLineChars="200"/>
        <w:rPr>
          <w:rFonts w:ascii="宋体" w:hAnsi="宋体" w:cs="宋体"/>
          <w:sz w:val="24"/>
          <w:szCs w:val="24"/>
          <w:u w:val="single"/>
        </w:rPr>
      </w:pPr>
      <w:r>
        <w:rPr>
          <w:rFonts w:hint="eastAsia" w:ascii="宋体" w:hAnsi="宋体" w:cs="宋体"/>
          <w:sz w:val="24"/>
          <w:szCs w:val="24"/>
        </w:rPr>
        <w:t>2.4.2 装运货物的要求和通知，详见</w:t>
      </w:r>
      <w:r>
        <w:rPr>
          <w:rFonts w:hint="eastAsia" w:ascii="宋体" w:hAnsi="宋体" w:cs="宋体"/>
          <w:sz w:val="24"/>
          <w:szCs w:val="24"/>
          <w:u w:val="single"/>
        </w:rPr>
        <w:t>合同专用条款。</w:t>
      </w:r>
    </w:p>
    <w:p w14:paraId="4FAF186B">
      <w:pPr>
        <w:spacing w:line="540" w:lineRule="exact"/>
        <w:ind w:firstLine="480" w:firstLineChars="200"/>
        <w:rPr>
          <w:rFonts w:ascii="宋体" w:hAnsi="宋体" w:cs="宋体"/>
          <w:sz w:val="24"/>
          <w:szCs w:val="24"/>
        </w:rPr>
      </w:pPr>
      <w:r>
        <w:rPr>
          <w:rFonts w:hint="eastAsia" w:ascii="宋体" w:hAnsi="宋体" w:cs="宋体"/>
          <w:sz w:val="24"/>
          <w:szCs w:val="24"/>
        </w:rPr>
        <w:t>2.5 履约检查和问题反馈</w:t>
      </w:r>
    </w:p>
    <w:p w14:paraId="49A4D77F">
      <w:pPr>
        <w:spacing w:line="540" w:lineRule="exact"/>
        <w:ind w:firstLine="480" w:firstLineChars="200"/>
        <w:rPr>
          <w:rFonts w:ascii="宋体" w:hAnsi="宋体" w:cs="宋体"/>
          <w:sz w:val="24"/>
          <w:szCs w:val="24"/>
        </w:rPr>
      </w:pPr>
      <w:r>
        <w:rPr>
          <w:rFonts w:hint="eastAsia" w:ascii="宋体" w:hAnsi="宋体" w:cs="宋体"/>
          <w:sz w:val="24"/>
          <w:szCs w:val="24"/>
        </w:rPr>
        <w:t>2.5.1 甲方有权在其认为必要时，对乙方是否能够按照合同约定交付货物进行履约检查，以确保乙方所交付的货物能够依约满足甲方项目需求，但不得因履约检查妨碍乙方的正常工作，乙方应予积极配合；</w:t>
      </w:r>
    </w:p>
    <w:p w14:paraId="5D35D008">
      <w:pPr>
        <w:spacing w:line="540" w:lineRule="exact"/>
        <w:ind w:firstLine="480" w:firstLineChars="200"/>
        <w:rPr>
          <w:rFonts w:ascii="宋体" w:hAnsi="宋体" w:cs="宋体"/>
          <w:sz w:val="24"/>
          <w:szCs w:val="24"/>
        </w:rPr>
      </w:pPr>
      <w:r>
        <w:rPr>
          <w:rFonts w:hint="eastAsia" w:ascii="宋体" w:hAnsi="宋体" w:cs="宋体"/>
          <w:sz w:val="24"/>
          <w:szCs w:val="24"/>
        </w:rPr>
        <w:t>2.5.2 合同履行期间，甲方有权将履行过程中出现的问题反馈给乙方，双方当事人应以书面形式约定需要完善和改进的内容。</w:t>
      </w:r>
    </w:p>
    <w:p w14:paraId="5417D097">
      <w:pPr>
        <w:spacing w:line="540" w:lineRule="exact"/>
        <w:ind w:firstLine="480" w:firstLineChars="200"/>
        <w:rPr>
          <w:rFonts w:ascii="宋体" w:hAnsi="宋体" w:cs="宋体"/>
          <w:sz w:val="24"/>
          <w:szCs w:val="24"/>
        </w:rPr>
      </w:pPr>
      <w:r>
        <w:rPr>
          <w:rFonts w:hint="eastAsia" w:ascii="宋体" w:hAnsi="宋体" w:cs="宋体"/>
          <w:sz w:val="24"/>
          <w:szCs w:val="24"/>
        </w:rPr>
        <w:t>2.6 结算方式和付款条件</w:t>
      </w:r>
    </w:p>
    <w:p w14:paraId="0D7454B8">
      <w:pPr>
        <w:spacing w:line="540" w:lineRule="exact"/>
        <w:ind w:firstLine="480" w:firstLineChars="200"/>
        <w:rPr>
          <w:rFonts w:ascii="宋体" w:hAnsi="宋体" w:cs="宋体"/>
          <w:sz w:val="24"/>
          <w:szCs w:val="24"/>
        </w:rPr>
      </w:pPr>
      <w:r>
        <w:rPr>
          <w:rFonts w:hint="eastAsia" w:ascii="宋体" w:hAnsi="宋体" w:cs="宋体"/>
          <w:sz w:val="24"/>
          <w:szCs w:val="24"/>
        </w:rPr>
        <w:t>详见</w:t>
      </w:r>
      <w:r>
        <w:rPr>
          <w:rFonts w:hint="eastAsia" w:ascii="宋体" w:hAnsi="宋体" w:cs="宋体"/>
          <w:sz w:val="24"/>
          <w:szCs w:val="24"/>
          <w:u w:val="single"/>
        </w:rPr>
        <w:t>合同专用条款。</w:t>
      </w:r>
    </w:p>
    <w:p w14:paraId="7B9F9DB3">
      <w:pPr>
        <w:spacing w:line="540" w:lineRule="exact"/>
        <w:ind w:firstLine="480" w:firstLineChars="200"/>
        <w:outlineLvl w:val="0"/>
        <w:rPr>
          <w:rFonts w:ascii="宋体" w:hAnsi="宋体" w:cs="宋体"/>
          <w:sz w:val="24"/>
          <w:szCs w:val="24"/>
        </w:rPr>
      </w:pPr>
      <w:bookmarkStart w:id="91" w:name="_Toc10337"/>
      <w:r>
        <w:rPr>
          <w:rFonts w:hint="eastAsia" w:ascii="宋体" w:hAnsi="宋体" w:cs="宋体"/>
          <w:sz w:val="24"/>
          <w:szCs w:val="24"/>
        </w:rPr>
        <w:t>2.7 技术资料和保密义务</w:t>
      </w:r>
      <w:bookmarkEnd w:id="91"/>
    </w:p>
    <w:p w14:paraId="398744B3">
      <w:pPr>
        <w:spacing w:line="540" w:lineRule="exact"/>
        <w:ind w:firstLine="480" w:firstLineChars="200"/>
        <w:rPr>
          <w:rFonts w:ascii="宋体" w:hAnsi="宋体" w:cs="宋体"/>
          <w:sz w:val="24"/>
          <w:szCs w:val="24"/>
        </w:rPr>
      </w:pPr>
      <w:r>
        <w:rPr>
          <w:rFonts w:hint="eastAsia" w:ascii="宋体" w:hAnsi="宋体" w:cs="宋体"/>
          <w:sz w:val="24"/>
          <w:szCs w:val="24"/>
        </w:rPr>
        <w:t>2.7.1 乙方有权依据合同约定和项目需要，向甲方了解有关情况，调阅有关资料等，甲方应予积极配合；</w:t>
      </w:r>
    </w:p>
    <w:p w14:paraId="2E641B18">
      <w:pPr>
        <w:spacing w:line="540" w:lineRule="exact"/>
        <w:ind w:firstLine="480" w:firstLineChars="200"/>
        <w:rPr>
          <w:rFonts w:ascii="宋体" w:hAnsi="宋体" w:cs="宋体"/>
          <w:sz w:val="24"/>
          <w:szCs w:val="24"/>
        </w:rPr>
      </w:pPr>
      <w:r>
        <w:rPr>
          <w:rFonts w:hint="eastAsia" w:ascii="宋体" w:hAnsi="宋体" w:cs="宋体"/>
          <w:sz w:val="24"/>
          <w:szCs w:val="24"/>
        </w:rPr>
        <w:t>2.7.2 乙方有义务妥善保管和保护由甲方提供的前款信息和资料等；</w:t>
      </w:r>
    </w:p>
    <w:p w14:paraId="7168984D">
      <w:pPr>
        <w:spacing w:line="540" w:lineRule="exact"/>
        <w:ind w:firstLine="480" w:firstLineChars="200"/>
        <w:rPr>
          <w:rFonts w:ascii="宋体" w:hAnsi="宋体" w:cs="宋体"/>
          <w:sz w:val="24"/>
          <w:szCs w:val="24"/>
        </w:rPr>
      </w:pPr>
      <w:r>
        <w:rPr>
          <w:rFonts w:hint="eastAsia" w:ascii="宋体" w:hAnsi="宋体" w:cs="宋体"/>
          <w:sz w:val="24"/>
          <w:szCs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9237B46">
      <w:pPr>
        <w:spacing w:line="540" w:lineRule="exact"/>
        <w:ind w:firstLine="480" w:firstLineChars="200"/>
        <w:outlineLvl w:val="0"/>
        <w:rPr>
          <w:rFonts w:ascii="宋体" w:hAnsi="宋体" w:cs="宋体"/>
          <w:sz w:val="24"/>
          <w:szCs w:val="24"/>
        </w:rPr>
      </w:pPr>
      <w:bookmarkStart w:id="92" w:name="_Toc26101"/>
      <w:r>
        <w:rPr>
          <w:rFonts w:hint="eastAsia" w:ascii="宋体" w:hAnsi="宋体" w:cs="宋体"/>
          <w:sz w:val="24"/>
          <w:szCs w:val="24"/>
        </w:rPr>
        <w:t>2.8 质量保证</w:t>
      </w:r>
      <w:bookmarkEnd w:id="92"/>
    </w:p>
    <w:p w14:paraId="33A611B7">
      <w:pPr>
        <w:spacing w:line="540" w:lineRule="exact"/>
        <w:ind w:firstLine="480" w:firstLineChars="200"/>
        <w:rPr>
          <w:rFonts w:ascii="宋体" w:hAnsi="宋体" w:cs="宋体"/>
          <w:sz w:val="24"/>
          <w:szCs w:val="24"/>
        </w:rPr>
      </w:pPr>
      <w:r>
        <w:rPr>
          <w:rFonts w:hint="eastAsia" w:ascii="宋体" w:hAnsi="宋体" w:cs="宋体"/>
          <w:sz w:val="24"/>
          <w:szCs w:val="24"/>
        </w:rPr>
        <w:t>2.8.1 乙方应建立和完善履行合同的内部质量保证体系，并提供相关内部规章制度给甲方，以便甲方进行监督检查；</w:t>
      </w:r>
    </w:p>
    <w:p w14:paraId="4C46EF3B">
      <w:pPr>
        <w:spacing w:line="540" w:lineRule="exact"/>
        <w:ind w:firstLine="480" w:firstLineChars="200"/>
        <w:rPr>
          <w:rFonts w:ascii="宋体" w:hAnsi="宋体" w:cs="宋体"/>
          <w:sz w:val="24"/>
          <w:szCs w:val="24"/>
        </w:rPr>
      </w:pPr>
      <w:r>
        <w:rPr>
          <w:rFonts w:hint="eastAsia" w:ascii="宋体" w:hAnsi="宋体" w:cs="宋体"/>
          <w:sz w:val="24"/>
          <w:szCs w:val="24"/>
        </w:rPr>
        <w:t>2.8.2 乙方应保证履行合同的人员数量和素质、软件和硬件设备的配置、场地、环境和设施等满足全面履行合同的要求，并应接受甲方的监督检查。</w:t>
      </w:r>
    </w:p>
    <w:p w14:paraId="57E33F5C">
      <w:pPr>
        <w:spacing w:line="540" w:lineRule="exact"/>
        <w:ind w:firstLine="480" w:firstLineChars="200"/>
        <w:rPr>
          <w:rFonts w:ascii="宋体" w:hAnsi="宋体" w:cs="宋体"/>
          <w:sz w:val="24"/>
          <w:szCs w:val="24"/>
        </w:rPr>
      </w:pPr>
      <w:r>
        <w:rPr>
          <w:rFonts w:hint="eastAsia" w:ascii="宋体" w:hAnsi="宋体" w:cs="宋体"/>
          <w:sz w:val="24"/>
          <w:szCs w:val="24"/>
        </w:rPr>
        <w:t>2.9 货物的风险负担</w:t>
      </w:r>
    </w:p>
    <w:p w14:paraId="1A05E61F">
      <w:pPr>
        <w:spacing w:line="540" w:lineRule="exact"/>
        <w:ind w:firstLine="480" w:firstLineChars="200"/>
        <w:rPr>
          <w:rFonts w:ascii="宋体" w:hAnsi="宋体" w:cs="宋体"/>
          <w:sz w:val="24"/>
          <w:szCs w:val="24"/>
          <w:u w:val="single"/>
        </w:rPr>
      </w:pPr>
      <w:r>
        <w:rPr>
          <w:rFonts w:hint="eastAsia" w:ascii="宋体" w:hAnsi="宋体" w:cs="宋体"/>
          <w:sz w:val="24"/>
          <w:szCs w:val="24"/>
        </w:rPr>
        <w:t>货物或者在途货物或者交付给第一承运人后的货物毁损、灭失的风险负担详见</w:t>
      </w:r>
      <w:r>
        <w:rPr>
          <w:rFonts w:hint="eastAsia" w:ascii="宋体" w:hAnsi="宋体" w:cs="宋体"/>
          <w:sz w:val="24"/>
          <w:szCs w:val="24"/>
          <w:u w:val="single"/>
        </w:rPr>
        <w:t>合同专用条款。</w:t>
      </w:r>
    </w:p>
    <w:p w14:paraId="2E868F45">
      <w:pPr>
        <w:spacing w:line="540" w:lineRule="exact"/>
        <w:ind w:firstLine="480" w:firstLineChars="200"/>
        <w:outlineLvl w:val="0"/>
        <w:rPr>
          <w:rFonts w:ascii="宋体" w:hAnsi="宋体" w:cs="宋体"/>
          <w:sz w:val="24"/>
          <w:szCs w:val="24"/>
        </w:rPr>
      </w:pPr>
      <w:bookmarkStart w:id="93" w:name="_Toc27552"/>
      <w:r>
        <w:rPr>
          <w:rFonts w:hint="eastAsia" w:ascii="宋体" w:hAnsi="宋体" w:cs="宋体"/>
          <w:sz w:val="24"/>
          <w:szCs w:val="24"/>
        </w:rPr>
        <w:t>2.10 延迟交货</w:t>
      </w:r>
      <w:bookmarkEnd w:id="93"/>
    </w:p>
    <w:p w14:paraId="3F91FFAA">
      <w:pPr>
        <w:spacing w:line="540" w:lineRule="exact"/>
        <w:ind w:firstLine="480" w:firstLineChars="200"/>
        <w:rPr>
          <w:rFonts w:ascii="宋体" w:hAnsi="宋体" w:cs="宋体"/>
          <w:sz w:val="24"/>
          <w:szCs w:val="24"/>
        </w:rPr>
      </w:pPr>
      <w:r>
        <w:rPr>
          <w:rFonts w:hint="eastAsia" w:ascii="宋体" w:hAnsi="宋体" w:cs="宋体"/>
          <w:sz w:val="24"/>
          <w:szCs w:val="24"/>
        </w:rPr>
        <w:t>在合同履行过程中，如果乙方遇到不能按时交付货物的情况，应及时以书面形式将不能按时交付货物的理由、预期延误时间通知甲方；甲方收到乙方通知后，认为其理由正当的，可以书面形式酌情同意乙方可以延长交货的具体时间。</w:t>
      </w:r>
    </w:p>
    <w:p w14:paraId="75C87239">
      <w:pPr>
        <w:spacing w:line="540" w:lineRule="exact"/>
        <w:ind w:firstLine="480" w:firstLineChars="200"/>
        <w:outlineLvl w:val="0"/>
        <w:rPr>
          <w:rFonts w:ascii="宋体" w:hAnsi="宋体" w:cs="宋体"/>
          <w:sz w:val="24"/>
          <w:szCs w:val="24"/>
        </w:rPr>
      </w:pPr>
      <w:bookmarkStart w:id="94" w:name="_Toc6816"/>
      <w:r>
        <w:rPr>
          <w:rFonts w:hint="eastAsia" w:ascii="宋体" w:hAnsi="宋体" w:cs="宋体"/>
          <w:sz w:val="24"/>
          <w:szCs w:val="24"/>
        </w:rPr>
        <w:t>2.11 合同变更</w:t>
      </w:r>
      <w:bookmarkEnd w:id="94"/>
    </w:p>
    <w:p w14:paraId="364F1300">
      <w:pPr>
        <w:spacing w:line="540" w:lineRule="exact"/>
        <w:ind w:firstLine="480" w:firstLineChars="200"/>
        <w:rPr>
          <w:rFonts w:ascii="宋体" w:hAnsi="宋体" w:cs="宋体"/>
          <w:sz w:val="24"/>
          <w:szCs w:val="24"/>
        </w:rPr>
      </w:pPr>
      <w:r>
        <w:rPr>
          <w:rFonts w:hint="eastAsia" w:ascii="宋体" w:hAnsi="宋体" w:cs="宋体"/>
          <w:sz w:val="24"/>
          <w:szCs w:val="24"/>
        </w:rPr>
        <w:t>2.11.1 双方当事人协商一致，可以签订书面补充合同的形式变更合同，但不得违背采购文件确定的事项；</w:t>
      </w:r>
    </w:p>
    <w:p w14:paraId="7BEB2547">
      <w:pPr>
        <w:spacing w:line="540" w:lineRule="exact"/>
        <w:ind w:firstLine="480" w:firstLineChars="200"/>
        <w:rPr>
          <w:rFonts w:ascii="宋体" w:hAnsi="宋体" w:cs="宋体"/>
          <w:sz w:val="24"/>
          <w:szCs w:val="24"/>
        </w:rPr>
      </w:pPr>
      <w:r>
        <w:rPr>
          <w:rFonts w:hint="eastAsia" w:ascii="宋体" w:hAnsi="宋体" w:cs="宋体"/>
          <w:sz w:val="24"/>
          <w:szCs w:val="24"/>
        </w:rPr>
        <w:t>2.11.2 合同继续履行将损害国家利益和社会公共利益的，双方当事人应当以书面形式变更合同。有过错的一方应当承担赔偿责任，双方当事人都有过错的，各自承担相应的责任。</w:t>
      </w:r>
    </w:p>
    <w:p w14:paraId="1A182594">
      <w:pPr>
        <w:spacing w:line="540" w:lineRule="exact"/>
        <w:ind w:firstLine="480" w:firstLineChars="200"/>
        <w:outlineLvl w:val="0"/>
        <w:rPr>
          <w:rFonts w:ascii="宋体" w:hAnsi="宋体" w:cs="宋体"/>
          <w:sz w:val="24"/>
          <w:szCs w:val="24"/>
        </w:rPr>
      </w:pPr>
      <w:bookmarkStart w:id="95" w:name="_Toc7181"/>
      <w:r>
        <w:rPr>
          <w:rFonts w:hint="eastAsia" w:ascii="宋体" w:hAnsi="宋体" w:cs="宋体"/>
          <w:sz w:val="24"/>
          <w:szCs w:val="24"/>
        </w:rPr>
        <w:t>2.12 合同转让和分包</w:t>
      </w:r>
      <w:bookmarkEnd w:id="95"/>
    </w:p>
    <w:p w14:paraId="40CCB222">
      <w:pPr>
        <w:spacing w:line="540" w:lineRule="exact"/>
        <w:ind w:firstLine="480" w:firstLineChars="200"/>
        <w:rPr>
          <w:rFonts w:ascii="宋体" w:hAnsi="宋体" w:cs="宋体"/>
          <w:sz w:val="24"/>
          <w:szCs w:val="24"/>
        </w:rPr>
      </w:pPr>
      <w:r>
        <w:rPr>
          <w:rFonts w:hint="eastAsia" w:ascii="宋体" w:hAnsi="宋体" w:cs="宋体"/>
          <w:sz w:val="24"/>
          <w:szCs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A5667AE">
      <w:pPr>
        <w:spacing w:line="540" w:lineRule="exact"/>
        <w:ind w:firstLine="480" w:firstLineChars="200"/>
        <w:outlineLvl w:val="0"/>
        <w:rPr>
          <w:rFonts w:ascii="宋体" w:hAnsi="宋体" w:cs="宋体"/>
          <w:sz w:val="24"/>
          <w:szCs w:val="24"/>
        </w:rPr>
      </w:pPr>
      <w:bookmarkStart w:id="96" w:name="_Toc16685"/>
      <w:r>
        <w:rPr>
          <w:rFonts w:hint="eastAsia" w:ascii="宋体" w:hAnsi="宋体" w:cs="宋体"/>
          <w:sz w:val="24"/>
          <w:szCs w:val="24"/>
        </w:rPr>
        <w:t>2.13 不可抗力</w:t>
      </w:r>
      <w:bookmarkEnd w:id="96"/>
    </w:p>
    <w:p w14:paraId="34287616">
      <w:pPr>
        <w:spacing w:line="540" w:lineRule="exact"/>
        <w:ind w:firstLine="480" w:firstLineChars="200"/>
        <w:rPr>
          <w:rFonts w:ascii="宋体" w:hAnsi="宋体" w:cs="宋体"/>
          <w:sz w:val="24"/>
          <w:szCs w:val="24"/>
        </w:rPr>
      </w:pPr>
      <w:r>
        <w:rPr>
          <w:rFonts w:hint="eastAsia" w:ascii="宋体" w:hAnsi="宋体" w:cs="宋体"/>
          <w:sz w:val="24"/>
          <w:szCs w:val="24"/>
        </w:rPr>
        <w:t>2.13.1 如果任何一方遭遇法律规定的不可抗力，致使合同履行受阻时，履行合同的期限应予延长，延长的期限应相当于不可抗力所影响的时间；</w:t>
      </w:r>
    </w:p>
    <w:p w14:paraId="7C8D8E4A">
      <w:pPr>
        <w:spacing w:line="540" w:lineRule="exact"/>
        <w:ind w:firstLine="480" w:firstLineChars="200"/>
        <w:rPr>
          <w:rFonts w:ascii="宋体" w:hAnsi="宋体" w:cs="宋体"/>
          <w:sz w:val="24"/>
          <w:szCs w:val="24"/>
        </w:rPr>
      </w:pPr>
      <w:r>
        <w:rPr>
          <w:rFonts w:hint="eastAsia" w:ascii="宋体" w:hAnsi="宋体" w:cs="宋体"/>
          <w:sz w:val="24"/>
          <w:szCs w:val="24"/>
        </w:rPr>
        <w:t>2.13.2 因不可抗力致使不能实现合同目的的，当事人可以解除合同；</w:t>
      </w:r>
    </w:p>
    <w:p w14:paraId="3DC69B40">
      <w:pPr>
        <w:spacing w:line="540" w:lineRule="exact"/>
        <w:ind w:firstLine="480" w:firstLineChars="200"/>
        <w:rPr>
          <w:rFonts w:ascii="宋体" w:hAnsi="宋体" w:cs="宋体"/>
          <w:sz w:val="24"/>
          <w:szCs w:val="24"/>
        </w:rPr>
      </w:pPr>
      <w:r>
        <w:rPr>
          <w:rFonts w:hint="eastAsia" w:ascii="宋体" w:hAnsi="宋体" w:cs="宋体"/>
          <w:sz w:val="24"/>
          <w:szCs w:val="24"/>
        </w:rPr>
        <w:t>2.13.3 因不可抗力致使合同有变更必要的，双方当事人应在</w:t>
      </w:r>
      <w:r>
        <w:rPr>
          <w:rFonts w:hint="eastAsia" w:ascii="宋体" w:hAnsi="宋体" w:cs="宋体"/>
          <w:sz w:val="24"/>
          <w:szCs w:val="24"/>
          <w:u w:val="single"/>
        </w:rPr>
        <w:t>合同专用条款</w:t>
      </w:r>
      <w:r>
        <w:rPr>
          <w:rFonts w:hint="eastAsia" w:ascii="宋体" w:hAnsi="宋体" w:cs="宋体"/>
          <w:sz w:val="24"/>
          <w:szCs w:val="24"/>
        </w:rPr>
        <w:t>约定时间内以书面形式变更合同；</w:t>
      </w:r>
    </w:p>
    <w:p w14:paraId="6B6E51D4">
      <w:pPr>
        <w:spacing w:line="540" w:lineRule="exact"/>
        <w:ind w:firstLine="480" w:firstLineChars="200"/>
        <w:rPr>
          <w:rFonts w:ascii="宋体" w:hAnsi="宋体" w:cs="宋体"/>
          <w:sz w:val="24"/>
          <w:szCs w:val="24"/>
        </w:rPr>
      </w:pPr>
      <w:r>
        <w:rPr>
          <w:rFonts w:hint="eastAsia" w:ascii="宋体" w:hAnsi="宋体" w:cs="宋体"/>
          <w:sz w:val="24"/>
          <w:szCs w:val="24"/>
        </w:rPr>
        <w:t>2.13.4 受不可抗力影响的一方在不可抗力发生后，应在</w:t>
      </w:r>
      <w:r>
        <w:rPr>
          <w:rFonts w:hint="eastAsia" w:ascii="宋体" w:hAnsi="宋体" w:cs="宋体"/>
          <w:sz w:val="24"/>
          <w:szCs w:val="24"/>
          <w:u w:val="single"/>
        </w:rPr>
        <w:t>合同专用条款</w:t>
      </w:r>
      <w:r>
        <w:rPr>
          <w:rFonts w:hint="eastAsia" w:ascii="宋体" w:hAnsi="宋体" w:cs="宋体"/>
          <w:sz w:val="24"/>
          <w:szCs w:val="24"/>
        </w:rPr>
        <w:t>约定时间内以书面形式通知对方当事人，并在</w:t>
      </w:r>
      <w:r>
        <w:rPr>
          <w:rFonts w:hint="eastAsia" w:ascii="宋体" w:hAnsi="宋体" w:cs="宋体"/>
          <w:sz w:val="24"/>
          <w:szCs w:val="24"/>
          <w:u w:val="single"/>
        </w:rPr>
        <w:t>合同专用条款</w:t>
      </w:r>
      <w:r>
        <w:rPr>
          <w:rFonts w:hint="eastAsia" w:ascii="宋体" w:hAnsi="宋体" w:cs="宋体"/>
          <w:sz w:val="24"/>
          <w:szCs w:val="24"/>
        </w:rPr>
        <w:t>约定时间内，将有关部门出具的证明文件送达对方当事人。</w:t>
      </w:r>
    </w:p>
    <w:p w14:paraId="5F0B695E">
      <w:pPr>
        <w:spacing w:line="540" w:lineRule="exact"/>
        <w:ind w:firstLine="480" w:firstLineChars="200"/>
        <w:outlineLvl w:val="0"/>
        <w:rPr>
          <w:rFonts w:ascii="宋体" w:hAnsi="宋体" w:cs="宋体"/>
          <w:sz w:val="24"/>
          <w:szCs w:val="24"/>
        </w:rPr>
      </w:pPr>
      <w:bookmarkStart w:id="97" w:name="_Toc6023"/>
      <w:r>
        <w:rPr>
          <w:rFonts w:hint="eastAsia" w:ascii="宋体" w:hAnsi="宋体" w:cs="宋体"/>
          <w:sz w:val="24"/>
          <w:szCs w:val="24"/>
        </w:rPr>
        <w:t>2.14 税费</w:t>
      </w:r>
      <w:bookmarkEnd w:id="97"/>
    </w:p>
    <w:p w14:paraId="4EA52DB9">
      <w:pPr>
        <w:spacing w:line="540" w:lineRule="exact"/>
        <w:ind w:firstLine="480" w:firstLineChars="200"/>
        <w:rPr>
          <w:rFonts w:ascii="宋体" w:hAnsi="宋体" w:cs="宋体"/>
          <w:sz w:val="24"/>
          <w:szCs w:val="24"/>
        </w:rPr>
      </w:pPr>
      <w:r>
        <w:rPr>
          <w:rFonts w:hint="eastAsia" w:ascii="宋体" w:hAnsi="宋体" w:cs="宋体"/>
          <w:sz w:val="24"/>
          <w:szCs w:val="24"/>
        </w:rPr>
        <w:t>与合同有关的一切税费，均按照中华人民共和国法律的相关规定缴纳。</w:t>
      </w:r>
    </w:p>
    <w:p w14:paraId="095DD46B">
      <w:pPr>
        <w:spacing w:line="540" w:lineRule="exact"/>
        <w:ind w:firstLine="480" w:firstLineChars="200"/>
        <w:rPr>
          <w:rFonts w:ascii="宋体" w:hAnsi="宋体" w:cs="宋体"/>
          <w:sz w:val="24"/>
          <w:szCs w:val="24"/>
        </w:rPr>
      </w:pPr>
      <w:r>
        <w:rPr>
          <w:rFonts w:hint="eastAsia" w:ascii="宋体" w:hAnsi="宋体" w:cs="宋体"/>
          <w:sz w:val="24"/>
          <w:szCs w:val="24"/>
        </w:rPr>
        <w:t>2.15 乙方破产</w:t>
      </w:r>
    </w:p>
    <w:p w14:paraId="786C8DA2">
      <w:pPr>
        <w:spacing w:line="540" w:lineRule="exact"/>
        <w:ind w:firstLine="480" w:firstLineChars="200"/>
        <w:rPr>
          <w:rFonts w:ascii="宋体" w:hAnsi="宋体" w:cs="宋体"/>
          <w:sz w:val="24"/>
          <w:szCs w:val="24"/>
        </w:rPr>
      </w:pPr>
      <w:r>
        <w:rPr>
          <w:rFonts w:hint="eastAsia" w:ascii="宋体" w:hAnsi="宋体" w:cs="宋体"/>
          <w:sz w:val="24"/>
          <w:szCs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C645B9F">
      <w:pPr>
        <w:spacing w:line="540" w:lineRule="exact"/>
        <w:ind w:firstLine="480" w:firstLineChars="200"/>
        <w:outlineLvl w:val="0"/>
        <w:rPr>
          <w:rFonts w:ascii="宋体" w:hAnsi="宋体" w:cs="宋体"/>
          <w:sz w:val="24"/>
          <w:szCs w:val="24"/>
        </w:rPr>
      </w:pPr>
      <w:bookmarkStart w:id="98" w:name="_Toc15742"/>
      <w:r>
        <w:rPr>
          <w:rFonts w:hint="eastAsia" w:ascii="宋体" w:hAnsi="宋体" w:cs="宋体"/>
          <w:sz w:val="24"/>
          <w:szCs w:val="24"/>
        </w:rPr>
        <w:t>2.16 合同中止、终止</w:t>
      </w:r>
      <w:bookmarkEnd w:id="98"/>
    </w:p>
    <w:p w14:paraId="1057FC39">
      <w:pPr>
        <w:spacing w:line="540" w:lineRule="exact"/>
        <w:ind w:firstLine="480" w:firstLineChars="200"/>
        <w:rPr>
          <w:rFonts w:ascii="宋体" w:hAnsi="宋体" w:cs="宋体"/>
          <w:sz w:val="24"/>
          <w:szCs w:val="24"/>
        </w:rPr>
      </w:pPr>
      <w:r>
        <w:rPr>
          <w:rFonts w:hint="eastAsia" w:ascii="宋体" w:hAnsi="宋体" w:cs="宋体"/>
          <w:sz w:val="24"/>
          <w:szCs w:val="24"/>
        </w:rPr>
        <w:t>2.16.1 双方当事人不得擅自中止或者终止合同；</w:t>
      </w:r>
    </w:p>
    <w:p w14:paraId="60171D8C">
      <w:pPr>
        <w:spacing w:line="540" w:lineRule="exact"/>
        <w:ind w:firstLine="480" w:firstLineChars="200"/>
        <w:rPr>
          <w:rFonts w:ascii="宋体" w:hAnsi="宋体" w:cs="宋体"/>
          <w:sz w:val="24"/>
          <w:szCs w:val="24"/>
        </w:rPr>
      </w:pPr>
      <w:r>
        <w:rPr>
          <w:rFonts w:hint="eastAsia" w:ascii="宋体" w:hAnsi="宋体" w:cs="宋体"/>
          <w:sz w:val="24"/>
          <w:szCs w:val="24"/>
        </w:rPr>
        <w:t>2.16.2 合同继续履行将损害国家利益和社会公共利益的，双方当事人应当中止或者终止合同。有过错的一方应当承担赔偿责任，双方当事人都有过错的，各自承担相应的责任。</w:t>
      </w:r>
    </w:p>
    <w:p w14:paraId="1ACF92A1">
      <w:pPr>
        <w:spacing w:line="540" w:lineRule="exact"/>
        <w:ind w:firstLine="480" w:firstLineChars="200"/>
        <w:outlineLvl w:val="0"/>
        <w:rPr>
          <w:rFonts w:ascii="宋体" w:hAnsi="宋体" w:cs="宋体"/>
          <w:sz w:val="24"/>
          <w:szCs w:val="24"/>
        </w:rPr>
      </w:pPr>
      <w:bookmarkStart w:id="99" w:name="_Toc8694"/>
      <w:r>
        <w:rPr>
          <w:rFonts w:hint="eastAsia" w:ascii="宋体" w:hAnsi="宋体" w:cs="宋体"/>
          <w:sz w:val="24"/>
          <w:szCs w:val="24"/>
        </w:rPr>
        <w:t>2.17 检验和验收</w:t>
      </w:r>
      <w:bookmarkEnd w:id="99"/>
    </w:p>
    <w:p w14:paraId="6F022073">
      <w:pPr>
        <w:spacing w:line="540" w:lineRule="exact"/>
        <w:ind w:firstLine="480" w:firstLineChars="200"/>
        <w:rPr>
          <w:rFonts w:ascii="宋体" w:hAnsi="宋体" w:cs="宋体"/>
          <w:sz w:val="24"/>
          <w:szCs w:val="24"/>
        </w:rPr>
      </w:pPr>
      <w:r>
        <w:rPr>
          <w:rFonts w:hint="eastAsia" w:ascii="宋体" w:hAnsi="宋体" w:cs="宋体"/>
          <w:sz w:val="24"/>
          <w:szCs w:val="24"/>
        </w:rPr>
        <w:t>2.17.1 货物交付前，乙方应对货物的质量、数量等方面进行详细、全面的自验，并向甲方出具证明货物符合合同约定的文件。</w:t>
      </w:r>
    </w:p>
    <w:p w14:paraId="07A82742">
      <w:pPr>
        <w:spacing w:line="540" w:lineRule="exact"/>
        <w:ind w:firstLine="480" w:firstLineChars="200"/>
        <w:rPr>
          <w:rFonts w:ascii="宋体" w:hAnsi="宋体" w:cs="宋体"/>
          <w:sz w:val="24"/>
          <w:szCs w:val="24"/>
        </w:rPr>
      </w:pPr>
      <w:r>
        <w:rPr>
          <w:rFonts w:hint="eastAsia" w:ascii="宋体" w:hAnsi="宋体" w:cs="宋体"/>
          <w:sz w:val="24"/>
          <w:szCs w:val="24"/>
        </w:rPr>
        <w:t>2.17.2 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03BCEEDE">
      <w:pPr>
        <w:spacing w:line="540" w:lineRule="exact"/>
        <w:ind w:firstLine="480" w:firstLineChars="200"/>
        <w:rPr>
          <w:rFonts w:ascii="宋体" w:hAnsi="宋体" w:cs="宋体"/>
          <w:sz w:val="24"/>
          <w:szCs w:val="24"/>
        </w:rPr>
      </w:pPr>
      <w:r>
        <w:rPr>
          <w:rFonts w:hint="eastAsia" w:ascii="宋体" w:hAnsi="宋体" w:cs="宋体"/>
          <w:sz w:val="24"/>
          <w:szCs w:val="24"/>
        </w:rPr>
        <w:t>2.17.3 检验和验收标准、程序等具体内容以及前述验收书的效力详见</w:t>
      </w:r>
      <w:r>
        <w:rPr>
          <w:rFonts w:hint="eastAsia" w:ascii="宋体" w:hAnsi="宋体" w:cs="宋体"/>
          <w:sz w:val="24"/>
          <w:szCs w:val="24"/>
          <w:u w:val="single"/>
        </w:rPr>
        <w:t>合同专用条款</w:t>
      </w:r>
      <w:r>
        <w:rPr>
          <w:rFonts w:hint="eastAsia" w:ascii="宋体" w:hAnsi="宋体" w:cs="宋体"/>
          <w:sz w:val="24"/>
          <w:szCs w:val="24"/>
        </w:rPr>
        <w:t>。</w:t>
      </w:r>
    </w:p>
    <w:p w14:paraId="291A093B">
      <w:pPr>
        <w:spacing w:line="540" w:lineRule="exact"/>
        <w:ind w:firstLine="480" w:firstLineChars="200"/>
        <w:outlineLvl w:val="0"/>
        <w:rPr>
          <w:rFonts w:ascii="宋体" w:hAnsi="宋体" w:cs="宋体"/>
          <w:sz w:val="24"/>
          <w:szCs w:val="24"/>
        </w:rPr>
      </w:pPr>
      <w:bookmarkStart w:id="100" w:name="_Toc15650"/>
      <w:r>
        <w:rPr>
          <w:rFonts w:hint="eastAsia" w:ascii="宋体" w:hAnsi="宋体" w:cs="宋体"/>
          <w:sz w:val="24"/>
          <w:szCs w:val="24"/>
        </w:rPr>
        <w:t>2.18 计量单位</w:t>
      </w:r>
      <w:bookmarkEnd w:id="100"/>
    </w:p>
    <w:p w14:paraId="5EADAA41">
      <w:pPr>
        <w:spacing w:line="540" w:lineRule="exact"/>
        <w:ind w:firstLine="480" w:firstLineChars="200"/>
        <w:rPr>
          <w:rFonts w:ascii="宋体" w:hAnsi="宋体" w:cs="宋体"/>
          <w:sz w:val="24"/>
          <w:szCs w:val="24"/>
        </w:rPr>
      </w:pPr>
      <w:r>
        <w:rPr>
          <w:rFonts w:hint="eastAsia" w:ascii="宋体" w:hAnsi="宋体" w:cs="宋体"/>
          <w:sz w:val="24"/>
          <w:szCs w:val="24"/>
        </w:rPr>
        <w:t>除技术规范中另有规定外,合同的计量单位均使用国家法定计量单位。</w:t>
      </w:r>
    </w:p>
    <w:p w14:paraId="4EE457ED">
      <w:pPr>
        <w:spacing w:line="540" w:lineRule="exact"/>
        <w:ind w:firstLine="480" w:firstLineChars="200"/>
        <w:outlineLvl w:val="0"/>
        <w:rPr>
          <w:rFonts w:ascii="宋体" w:hAnsi="宋体" w:cs="宋体"/>
          <w:sz w:val="24"/>
          <w:szCs w:val="24"/>
        </w:rPr>
      </w:pPr>
      <w:bookmarkStart w:id="101" w:name="_Toc28376"/>
      <w:r>
        <w:rPr>
          <w:rFonts w:hint="eastAsia" w:ascii="宋体" w:hAnsi="宋体" w:cs="宋体"/>
          <w:sz w:val="24"/>
          <w:szCs w:val="24"/>
        </w:rPr>
        <w:t>2.19 合同使用的文字和适用的法律</w:t>
      </w:r>
      <w:bookmarkEnd w:id="101"/>
    </w:p>
    <w:p w14:paraId="2226FC2E">
      <w:pPr>
        <w:spacing w:line="540" w:lineRule="exact"/>
        <w:ind w:firstLine="480" w:firstLineChars="200"/>
        <w:rPr>
          <w:rFonts w:ascii="宋体" w:hAnsi="宋体" w:cs="宋体"/>
          <w:sz w:val="24"/>
          <w:szCs w:val="24"/>
        </w:rPr>
      </w:pPr>
      <w:r>
        <w:rPr>
          <w:rFonts w:hint="eastAsia" w:ascii="宋体" w:hAnsi="宋体" w:cs="宋体"/>
          <w:sz w:val="24"/>
          <w:szCs w:val="24"/>
        </w:rPr>
        <w:t>2.19.1 合同使用汉语书就、变更和解释；</w:t>
      </w:r>
    </w:p>
    <w:p w14:paraId="2307088C">
      <w:pPr>
        <w:spacing w:line="540" w:lineRule="exact"/>
        <w:ind w:firstLine="480" w:firstLineChars="200"/>
        <w:rPr>
          <w:rFonts w:ascii="宋体" w:hAnsi="宋体" w:cs="宋体"/>
          <w:sz w:val="24"/>
          <w:szCs w:val="24"/>
        </w:rPr>
      </w:pPr>
      <w:r>
        <w:rPr>
          <w:rFonts w:hint="eastAsia" w:ascii="宋体" w:hAnsi="宋体" w:cs="宋体"/>
          <w:sz w:val="24"/>
          <w:szCs w:val="24"/>
        </w:rPr>
        <w:t>2.19.2 合同适用中华人民共和国法律。</w:t>
      </w:r>
    </w:p>
    <w:p w14:paraId="37322D06">
      <w:pPr>
        <w:spacing w:line="540" w:lineRule="exact"/>
        <w:ind w:firstLine="480" w:firstLineChars="200"/>
        <w:outlineLvl w:val="0"/>
        <w:rPr>
          <w:rFonts w:ascii="宋体" w:hAnsi="宋体" w:cs="宋体"/>
          <w:sz w:val="24"/>
          <w:szCs w:val="24"/>
        </w:rPr>
      </w:pPr>
      <w:bookmarkStart w:id="102" w:name="_Toc31036"/>
      <w:r>
        <w:rPr>
          <w:rFonts w:hint="eastAsia" w:ascii="宋体" w:hAnsi="宋体" w:cs="宋体"/>
          <w:sz w:val="24"/>
          <w:szCs w:val="24"/>
        </w:rPr>
        <w:t>2.20 履约保证金</w:t>
      </w:r>
      <w:bookmarkEnd w:id="102"/>
    </w:p>
    <w:p w14:paraId="5F4534C9">
      <w:pPr>
        <w:spacing w:line="540" w:lineRule="exact"/>
        <w:ind w:firstLine="480" w:firstLineChars="200"/>
        <w:rPr>
          <w:rFonts w:ascii="宋体" w:hAnsi="宋体" w:cs="宋体"/>
          <w:sz w:val="24"/>
          <w:szCs w:val="24"/>
        </w:rPr>
      </w:pPr>
      <w:r>
        <w:rPr>
          <w:rFonts w:hint="eastAsia" w:ascii="宋体" w:hAnsi="宋体" w:cs="宋体"/>
          <w:sz w:val="24"/>
          <w:szCs w:val="24"/>
        </w:rPr>
        <w:t>2.20.1 采购文件要求乙方提交履约保证金的，乙方应按</w:t>
      </w:r>
      <w:r>
        <w:rPr>
          <w:rFonts w:hint="eastAsia" w:ascii="宋体" w:hAnsi="宋体" w:cs="宋体"/>
          <w:sz w:val="24"/>
          <w:szCs w:val="24"/>
          <w:u w:val="single"/>
        </w:rPr>
        <w:t>供应商须知前附表的</w:t>
      </w:r>
      <w:r>
        <w:rPr>
          <w:rFonts w:hint="eastAsia" w:ascii="宋体" w:hAnsi="宋体" w:cs="宋体"/>
          <w:sz w:val="24"/>
          <w:szCs w:val="24"/>
        </w:rPr>
        <w:t>约定提交不超过合同价2.5%的履约保证金；</w:t>
      </w:r>
    </w:p>
    <w:p w14:paraId="5A90101C">
      <w:pPr>
        <w:spacing w:line="540" w:lineRule="exact"/>
        <w:ind w:firstLine="480" w:firstLineChars="200"/>
        <w:rPr>
          <w:rFonts w:ascii="宋体" w:hAnsi="宋体" w:cs="宋体"/>
          <w:sz w:val="24"/>
          <w:szCs w:val="24"/>
        </w:rPr>
      </w:pPr>
      <w:r>
        <w:rPr>
          <w:rFonts w:hint="eastAsia" w:ascii="宋体" w:hAnsi="宋体" w:cs="宋体"/>
          <w:sz w:val="24"/>
          <w:szCs w:val="24"/>
        </w:rPr>
        <w:t>2.20.2 如果乙方不履行合同，履约保证金不予退还；如果乙方未能按合同约 定全面履行义务，那么甲方有权从履约保证金中取得补偿或赔偿，同时不影响甲方要求乙方承担合同约定的超过履约保证金的违约责任的权利。</w:t>
      </w:r>
    </w:p>
    <w:p w14:paraId="702D3997">
      <w:pPr>
        <w:spacing w:line="540" w:lineRule="exact"/>
        <w:ind w:firstLine="480" w:firstLineChars="200"/>
        <w:outlineLvl w:val="0"/>
        <w:rPr>
          <w:rFonts w:ascii="宋体" w:hAnsi="宋体" w:cs="宋体"/>
          <w:sz w:val="24"/>
          <w:szCs w:val="24"/>
        </w:rPr>
      </w:pPr>
      <w:bookmarkStart w:id="103" w:name="_Toc16364"/>
      <w:r>
        <w:rPr>
          <w:rFonts w:hint="eastAsia" w:ascii="宋体" w:hAnsi="宋体" w:cs="宋体"/>
          <w:sz w:val="24"/>
          <w:szCs w:val="24"/>
        </w:rPr>
        <w:t>2.21 合同份数</w:t>
      </w:r>
      <w:bookmarkEnd w:id="103"/>
    </w:p>
    <w:p w14:paraId="4B72FD71">
      <w:pPr>
        <w:spacing w:line="540" w:lineRule="exact"/>
        <w:ind w:firstLine="480" w:firstLineChars="200"/>
        <w:rPr>
          <w:rFonts w:ascii="宋体" w:hAnsi="宋体" w:cs="宋体"/>
          <w:b/>
          <w:bCs/>
          <w:sz w:val="24"/>
          <w:szCs w:val="24"/>
        </w:rPr>
      </w:pPr>
      <w:r>
        <w:rPr>
          <w:rFonts w:hint="eastAsia" w:ascii="宋体" w:hAnsi="宋体" w:cs="宋体"/>
          <w:sz w:val="24"/>
          <w:szCs w:val="24"/>
        </w:rPr>
        <w:t>合同份数按</w:t>
      </w:r>
      <w:r>
        <w:rPr>
          <w:rFonts w:hint="eastAsia" w:ascii="宋体" w:hAnsi="宋体" w:cs="宋体"/>
          <w:sz w:val="24"/>
          <w:szCs w:val="24"/>
          <w:u w:val="single"/>
        </w:rPr>
        <w:t>合同专用条款</w:t>
      </w:r>
      <w:r>
        <w:rPr>
          <w:rFonts w:hint="eastAsia" w:ascii="宋体" w:hAnsi="宋体" w:cs="宋体"/>
          <w:sz w:val="24"/>
          <w:szCs w:val="24"/>
        </w:rPr>
        <w:t>规定，每份均具有同等法律效力。</w:t>
      </w:r>
    </w:p>
    <w:p w14:paraId="7271B298">
      <w:pPr>
        <w:rPr>
          <w:rFonts w:ascii="宋体" w:hAnsi="宋体" w:cs="宋体"/>
          <w:b/>
          <w:bCs/>
          <w:sz w:val="24"/>
          <w:szCs w:val="24"/>
        </w:rPr>
      </w:pPr>
    </w:p>
    <w:p w14:paraId="3B0D7C04">
      <w:pPr>
        <w:adjustRightInd w:val="0"/>
        <w:snapToGrid w:val="0"/>
        <w:spacing w:line="700" w:lineRule="exact"/>
        <w:jc w:val="center"/>
        <w:rPr>
          <w:rFonts w:ascii="宋体" w:hAnsi="宋体" w:cs="宋体"/>
          <w:b/>
          <w:bCs/>
          <w:color w:val="000000"/>
          <w:sz w:val="24"/>
          <w:szCs w:val="24"/>
        </w:rPr>
      </w:pPr>
      <w:r>
        <w:rPr>
          <w:rFonts w:hint="eastAsia" w:ascii="宋体" w:hAnsi="宋体" w:cs="宋体"/>
          <w:b/>
          <w:bCs/>
          <w:sz w:val="24"/>
          <w:szCs w:val="24"/>
        </w:rPr>
        <w:br w:type="page"/>
      </w:r>
      <w:r>
        <w:rPr>
          <w:rFonts w:hint="eastAsia" w:ascii="宋体" w:hAnsi="宋体" w:cs="宋体"/>
          <w:b/>
          <w:bCs/>
          <w:color w:val="000000"/>
          <w:sz w:val="24"/>
          <w:szCs w:val="24"/>
        </w:rPr>
        <w:t>第三部分 合同专用条款</w:t>
      </w:r>
    </w:p>
    <w:p w14:paraId="0DA69A62">
      <w:pPr>
        <w:spacing w:line="520" w:lineRule="exact"/>
        <w:ind w:firstLine="480" w:firstLineChars="200"/>
        <w:rPr>
          <w:rFonts w:ascii="宋体" w:hAnsi="宋体" w:cs="宋体"/>
          <w:color w:val="000000"/>
          <w:sz w:val="24"/>
          <w:szCs w:val="24"/>
        </w:rPr>
      </w:pPr>
      <w:r>
        <w:rPr>
          <w:rFonts w:hint="eastAsia" w:ascii="宋体" w:hAnsi="宋体" w:cs="宋体"/>
          <w:color w:val="000000"/>
          <w:sz w:val="24"/>
          <w:szCs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182F7286">
      <w:pPr>
        <w:spacing w:line="69" w:lineRule="exact"/>
        <w:rPr>
          <w:rFonts w:ascii="宋体" w:hAnsi="宋体" w:cs="宋体"/>
          <w:color w:val="000000"/>
          <w:sz w:val="24"/>
          <w:szCs w:val="24"/>
        </w:rPr>
      </w:pPr>
    </w:p>
    <w:tbl>
      <w:tblPr>
        <w:tblStyle w:val="71"/>
        <w:tblW w:w="83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1356"/>
        <w:gridCol w:w="7014"/>
      </w:tblGrid>
      <w:tr w14:paraId="49C1C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495" w:hRule="atLeast"/>
          <w:jc w:val="center"/>
        </w:trPr>
        <w:tc>
          <w:tcPr>
            <w:tcW w:w="1356" w:type="dxa"/>
            <w:tcBorders>
              <w:right w:val="single" w:color="000000" w:sz="4" w:space="0"/>
            </w:tcBorders>
            <w:noWrap/>
            <w:vAlign w:val="center"/>
          </w:tcPr>
          <w:p w14:paraId="6B94229A">
            <w:pPr>
              <w:spacing w:before="83" w:line="220" w:lineRule="auto"/>
              <w:ind w:left="47"/>
              <w:jc w:val="center"/>
              <w:rPr>
                <w:rFonts w:ascii="宋体" w:hAnsi="宋体" w:cs="宋体"/>
                <w:b/>
                <w:bCs/>
                <w:color w:val="000000"/>
                <w:sz w:val="24"/>
                <w:szCs w:val="24"/>
              </w:rPr>
            </w:pPr>
            <w:r>
              <w:rPr>
                <w:rFonts w:hint="eastAsia" w:ascii="宋体" w:hAnsi="宋体" w:cs="宋体"/>
                <w:b/>
                <w:bCs/>
                <w:color w:val="000000"/>
                <w:sz w:val="24"/>
                <w:szCs w:val="24"/>
              </w:rPr>
              <w:t>条款号</w:t>
            </w:r>
          </w:p>
        </w:tc>
        <w:tc>
          <w:tcPr>
            <w:tcW w:w="7014" w:type="dxa"/>
            <w:tcBorders>
              <w:left w:val="single" w:color="000000" w:sz="4" w:space="0"/>
              <w:right w:val="single" w:color="000000" w:sz="4" w:space="0"/>
            </w:tcBorders>
            <w:noWrap/>
            <w:vAlign w:val="center"/>
          </w:tcPr>
          <w:p w14:paraId="18BB9BF8">
            <w:pPr>
              <w:spacing w:before="83" w:line="220" w:lineRule="auto"/>
              <w:jc w:val="center"/>
              <w:rPr>
                <w:rFonts w:ascii="宋体" w:hAnsi="宋体" w:cs="宋体"/>
                <w:b/>
                <w:bCs/>
                <w:color w:val="000000"/>
                <w:sz w:val="24"/>
                <w:szCs w:val="24"/>
              </w:rPr>
            </w:pPr>
            <w:r>
              <w:rPr>
                <w:rFonts w:hint="eastAsia" w:ascii="宋体" w:hAnsi="宋体" w:cs="宋体"/>
                <w:b/>
                <w:bCs/>
                <w:color w:val="000000"/>
                <w:sz w:val="24"/>
                <w:szCs w:val="24"/>
              </w:rPr>
              <w:t>约定内容</w:t>
            </w:r>
          </w:p>
        </w:tc>
      </w:tr>
      <w:tr w14:paraId="1DB39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ign w:val="center"/>
          </w:tcPr>
          <w:p w14:paraId="2DFFFA20">
            <w:pPr>
              <w:jc w:val="cente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2D2B1AAB">
            <w:pPr>
              <w:rPr>
                <w:rFonts w:ascii="宋体" w:hAnsi="宋体" w:cs="宋体"/>
                <w:color w:val="000000"/>
                <w:sz w:val="24"/>
                <w:szCs w:val="24"/>
              </w:rPr>
            </w:pPr>
          </w:p>
        </w:tc>
      </w:tr>
      <w:tr w14:paraId="38BCF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4BF69357">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63FDAFB1">
            <w:pPr>
              <w:rPr>
                <w:rFonts w:ascii="宋体" w:hAnsi="宋体" w:cs="宋体"/>
                <w:color w:val="000000"/>
                <w:sz w:val="24"/>
                <w:szCs w:val="24"/>
              </w:rPr>
            </w:pPr>
          </w:p>
        </w:tc>
      </w:tr>
      <w:tr w14:paraId="50828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55EE4841">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1CF88ED1">
            <w:pPr>
              <w:rPr>
                <w:rFonts w:ascii="宋体" w:hAnsi="宋体" w:cs="宋体"/>
                <w:color w:val="000000"/>
                <w:sz w:val="24"/>
                <w:szCs w:val="24"/>
              </w:rPr>
            </w:pPr>
          </w:p>
        </w:tc>
      </w:tr>
      <w:tr w14:paraId="53219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79E44CF7">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713E3DC4">
            <w:pPr>
              <w:rPr>
                <w:rFonts w:ascii="宋体" w:hAnsi="宋体" w:cs="宋体"/>
                <w:color w:val="000000"/>
                <w:sz w:val="24"/>
                <w:szCs w:val="24"/>
              </w:rPr>
            </w:pPr>
          </w:p>
        </w:tc>
      </w:tr>
      <w:tr w14:paraId="70212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ign w:val="center"/>
          </w:tcPr>
          <w:p w14:paraId="54B14AD3">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0F2194E9">
            <w:pPr>
              <w:rPr>
                <w:rFonts w:ascii="宋体" w:hAnsi="宋体" w:cs="宋体"/>
                <w:color w:val="000000"/>
                <w:sz w:val="24"/>
                <w:szCs w:val="24"/>
              </w:rPr>
            </w:pPr>
          </w:p>
        </w:tc>
      </w:tr>
      <w:tr w14:paraId="5F8B7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58F17F41">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2DDA8AE8">
            <w:pPr>
              <w:rPr>
                <w:rFonts w:ascii="宋体" w:hAnsi="宋体" w:cs="宋体"/>
                <w:color w:val="000000"/>
                <w:sz w:val="24"/>
                <w:szCs w:val="24"/>
              </w:rPr>
            </w:pPr>
          </w:p>
        </w:tc>
      </w:tr>
      <w:tr w14:paraId="67EEC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34D8DBD2">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3733E569">
            <w:pPr>
              <w:rPr>
                <w:rFonts w:ascii="宋体" w:hAnsi="宋体" w:cs="宋体"/>
                <w:color w:val="000000"/>
                <w:sz w:val="24"/>
                <w:szCs w:val="24"/>
              </w:rPr>
            </w:pPr>
          </w:p>
        </w:tc>
      </w:tr>
      <w:tr w14:paraId="0CE37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37CAF00E">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638A78E3">
            <w:pPr>
              <w:rPr>
                <w:rFonts w:ascii="宋体" w:hAnsi="宋体" w:cs="宋体"/>
                <w:color w:val="000000"/>
                <w:sz w:val="24"/>
                <w:szCs w:val="24"/>
              </w:rPr>
            </w:pPr>
          </w:p>
        </w:tc>
      </w:tr>
      <w:tr w14:paraId="52D66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9" w:hRule="atLeast"/>
          <w:jc w:val="center"/>
        </w:trPr>
        <w:tc>
          <w:tcPr>
            <w:tcW w:w="1356" w:type="dxa"/>
            <w:tcBorders>
              <w:right w:val="single" w:color="000000" w:sz="4" w:space="0"/>
            </w:tcBorders>
            <w:noWrap/>
            <w:vAlign w:val="center"/>
          </w:tcPr>
          <w:p w14:paraId="51907B89">
            <w:pPr>
              <w:rPr>
                <w:rFonts w:ascii="宋体" w:hAnsi="宋体" w:cs="宋体"/>
                <w:color w:val="000000"/>
                <w:sz w:val="24"/>
                <w:szCs w:val="24"/>
              </w:rPr>
            </w:pPr>
          </w:p>
        </w:tc>
        <w:tc>
          <w:tcPr>
            <w:tcW w:w="7014" w:type="dxa"/>
            <w:tcBorders>
              <w:left w:val="single" w:color="000000" w:sz="4" w:space="0"/>
              <w:right w:val="single" w:color="000000" w:sz="4" w:space="0"/>
            </w:tcBorders>
            <w:noWrap/>
            <w:vAlign w:val="center"/>
          </w:tcPr>
          <w:p w14:paraId="7D7AFE12">
            <w:pPr>
              <w:rPr>
                <w:rFonts w:ascii="宋体" w:hAnsi="宋体" w:cs="宋体"/>
                <w:color w:val="000000"/>
                <w:sz w:val="24"/>
                <w:szCs w:val="24"/>
              </w:rPr>
            </w:pPr>
          </w:p>
        </w:tc>
      </w:tr>
    </w:tbl>
    <w:p w14:paraId="7D12F692">
      <w:pPr>
        <w:spacing w:line="254" w:lineRule="auto"/>
        <w:jc w:val="center"/>
        <w:rPr>
          <w:b/>
          <w:bCs/>
          <w:color w:val="000000"/>
          <w:sz w:val="24"/>
          <w:szCs w:val="24"/>
        </w:rPr>
      </w:pPr>
    </w:p>
    <w:p w14:paraId="1159F809">
      <w:pPr>
        <w:spacing w:line="254" w:lineRule="auto"/>
        <w:jc w:val="center"/>
        <w:rPr>
          <w:b/>
          <w:bCs/>
          <w:color w:val="000000"/>
          <w:sz w:val="24"/>
          <w:szCs w:val="24"/>
        </w:rPr>
      </w:pPr>
    </w:p>
    <w:p w14:paraId="3C757AF7">
      <w:pPr>
        <w:spacing w:line="254" w:lineRule="auto"/>
        <w:jc w:val="center"/>
        <w:rPr>
          <w:b/>
          <w:bCs/>
          <w:color w:val="000000"/>
          <w:sz w:val="24"/>
          <w:szCs w:val="24"/>
        </w:rPr>
      </w:pPr>
    </w:p>
    <w:p w14:paraId="23BCF237">
      <w:pPr>
        <w:rPr>
          <w:rFonts w:ascii="宋体" w:hAnsi="宋体" w:cs="宋体"/>
          <w:b/>
          <w:sz w:val="28"/>
        </w:rPr>
      </w:pPr>
      <w:r>
        <w:rPr>
          <w:rFonts w:hint="eastAsia" w:ascii="宋体" w:hAnsi="宋体" w:cs="宋体"/>
          <w:b/>
          <w:sz w:val="28"/>
        </w:rPr>
        <w:br w:type="page"/>
      </w:r>
    </w:p>
    <w:p w14:paraId="20A2F991">
      <w:pPr>
        <w:spacing w:line="360" w:lineRule="auto"/>
        <w:jc w:val="center"/>
        <w:outlineLvl w:val="0"/>
        <w:rPr>
          <w:rFonts w:ascii="宋体" w:hAnsi="宋体" w:cs="宋体"/>
          <w:b/>
          <w:sz w:val="28"/>
        </w:rPr>
      </w:pPr>
      <w:bookmarkStart w:id="104" w:name="_Toc10214"/>
      <w:r>
        <w:rPr>
          <w:rFonts w:hint="eastAsia" w:ascii="宋体" w:hAnsi="宋体" w:cs="宋体"/>
          <w:b/>
          <w:sz w:val="28"/>
        </w:rPr>
        <w:t>第六章  响应文件格式</w:t>
      </w:r>
      <w:bookmarkEnd w:id="87"/>
      <w:bookmarkEnd w:id="104"/>
    </w:p>
    <w:p w14:paraId="29D64A43">
      <w:pPr>
        <w:spacing w:line="900" w:lineRule="exact"/>
        <w:jc w:val="center"/>
        <w:rPr>
          <w:rFonts w:ascii="宋体" w:hAnsi="宋体" w:cs="宋体"/>
          <w:b/>
          <w:sz w:val="72"/>
        </w:rPr>
      </w:pPr>
    </w:p>
    <w:p w14:paraId="7ECEE00F">
      <w:pPr>
        <w:spacing w:line="900" w:lineRule="exact"/>
        <w:jc w:val="center"/>
        <w:outlineLvl w:val="2"/>
        <w:rPr>
          <w:rFonts w:ascii="宋体" w:hAnsi="宋体" w:cs="宋体"/>
          <w:b/>
          <w:sz w:val="72"/>
        </w:rPr>
      </w:pPr>
      <w:r>
        <w:rPr>
          <w:rFonts w:hint="eastAsia" w:ascii="宋体" w:hAnsi="宋体" w:cs="宋体"/>
          <w:b/>
          <w:sz w:val="72"/>
        </w:rPr>
        <w:t>响</w:t>
      </w:r>
    </w:p>
    <w:p w14:paraId="10206FFE">
      <w:pPr>
        <w:spacing w:line="900" w:lineRule="exact"/>
        <w:jc w:val="center"/>
        <w:rPr>
          <w:rFonts w:ascii="宋体" w:hAnsi="宋体" w:cs="宋体"/>
          <w:b/>
          <w:sz w:val="72"/>
        </w:rPr>
      </w:pPr>
    </w:p>
    <w:p w14:paraId="14CE3668">
      <w:pPr>
        <w:spacing w:line="900" w:lineRule="exact"/>
        <w:jc w:val="center"/>
        <w:outlineLvl w:val="2"/>
        <w:rPr>
          <w:rFonts w:ascii="宋体" w:hAnsi="宋体" w:cs="宋体"/>
          <w:b/>
          <w:sz w:val="72"/>
        </w:rPr>
      </w:pPr>
      <w:r>
        <w:rPr>
          <w:rFonts w:hint="eastAsia" w:ascii="宋体" w:hAnsi="宋体" w:cs="宋体"/>
          <w:b/>
          <w:sz w:val="72"/>
        </w:rPr>
        <w:t>应</w:t>
      </w:r>
    </w:p>
    <w:p w14:paraId="17746209">
      <w:pPr>
        <w:spacing w:line="900" w:lineRule="exact"/>
        <w:jc w:val="center"/>
        <w:rPr>
          <w:rFonts w:ascii="宋体" w:hAnsi="宋体" w:cs="宋体"/>
          <w:b/>
          <w:sz w:val="72"/>
        </w:rPr>
      </w:pPr>
    </w:p>
    <w:p w14:paraId="1EE24ABC">
      <w:pPr>
        <w:spacing w:line="900" w:lineRule="exact"/>
        <w:jc w:val="center"/>
        <w:outlineLvl w:val="2"/>
        <w:rPr>
          <w:rFonts w:ascii="宋体" w:hAnsi="宋体" w:cs="宋体"/>
          <w:b/>
          <w:sz w:val="72"/>
        </w:rPr>
      </w:pPr>
      <w:r>
        <w:rPr>
          <w:rFonts w:hint="eastAsia" w:ascii="宋体" w:hAnsi="宋体" w:cs="宋体"/>
          <w:b/>
          <w:sz w:val="72"/>
        </w:rPr>
        <w:t>文</w:t>
      </w:r>
    </w:p>
    <w:p w14:paraId="274B51CA">
      <w:pPr>
        <w:spacing w:line="900" w:lineRule="exact"/>
        <w:jc w:val="center"/>
        <w:rPr>
          <w:rFonts w:ascii="宋体" w:hAnsi="宋体" w:cs="宋体"/>
          <w:b/>
          <w:sz w:val="72"/>
        </w:rPr>
      </w:pPr>
    </w:p>
    <w:p w14:paraId="6C606842">
      <w:pPr>
        <w:jc w:val="center"/>
        <w:outlineLvl w:val="2"/>
        <w:rPr>
          <w:rFonts w:ascii="宋体" w:hAnsi="宋体" w:cs="宋体"/>
          <w:b/>
          <w:sz w:val="72"/>
        </w:rPr>
      </w:pPr>
      <w:r>
        <w:rPr>
          <w:rFonts w:hint="eastAsia" w:ascii="宋体" w:hAnsi="宋体" w:cs="宋体"/>
          <w:b/>
          <w:sz w:val="72"/>
        </w:rPr>
        <w:t>件</w:t>
      </w:r>
    </w:p>
    <w:p w14:paraId="4486A0B0">
      <w:pPr>
        <w:spacing w:afterLines="50"/>
        <w:jc w:val="center"/>
        <w:rPr>
          <w:rFonts w:ascii="宋体" w:hAnsi="宋体" w:cs="宋体"/>
          <w:b/>
          <w:sz w:val="72"/>
        </w:rPr>
      </w:pPr>
    </w:p>
    <w:p w14:paraId="41AD5A55">
      <w:pPr>
        <w:pStyle w:val="8"/>
        <w:spacing w:after="0" w:line="360" w:lineRule="auto"/>
        <w:ind w:firstLine="643" w:firstLineChars="200"/>
        <w:jc w:val="center"/>
        <w:rPr>
          <w:rFonts w:ascii="宋体" w:hAnsi="宋体" w:eastAsia="宋体" w:cs="宋体"/>
          <w:sz w:val="24"/>
          <w:szCs w:val="18"/>
          <w:lang w:val="en-US"/>
        </w:rPr>
      </w:pPr>
      <w:bookmarkStart w:id="105" w:name="_Toc32506"/>
      <w:r>
        <w:rPr>
          <w:rFonts w:hint="eastAsia" w:ascii="宋体" w:hAnsi="宋体" w:eastAsia="宋体" w:cs="宋体"/>
          <w:b/>
          <w:sz w:val="32"/>
          <w:szCs w:val="32"/>
        </w:rPr>
        <w:t>【第包】</w:t>
      </w:r>
      <w:bookmarkEnd w:id="105"/>
      <w:r>
        <w:rPr>
          <w:rFonts w:hint="eastAsia" w:ascii="宋体" w:hAnsi="宋体" w:eastAsia="宋体" w:cs="宋体"/>
          <w:i/>
          <w:iCs/>
          <w:sz w:val="24"/>
          <w:szCs w:val="18"/>
          <w:lang w:val="en-US"/>
        </w:rPr>
        <w:t>（如不分包，请删去本行）</w:t>
      </w:r>
    </w:p>
    <w:p w14:paraId="3DD5C0D0">
      <w:pPr>
        <w:spacing w:afterLines="50" w:line="500" w:lineRule="exact"/>
        <w:rPr>
          <w:rFonts w:ascii="宋体" w:hAnsi="宋体" w:cs="宋体"/>
          <w:b/>
          <w:sz w:val="72"/>
        </w:rPr>
      </w:pPr>
    </w:p>
    <w:p w14:paraId="4482F217">
      <w:pPr>
        <w:spacing w:afterLines="50" w:line="500" w:lineRule="exact"/>
        <w:jc w:val="center"/>
        <w:rPr>
          <w:rFonts w:ascii="宋体" w:hAnsi="宋体" w:cs="宋体"/>
          <w:b/>
          <w:sz w:val="28"/>
          <w:szCs w:val="28"/>
        </w:rPr>
      </w:pPr>
    </w:p>
    <w:p w14:paraId="6FCA658B">
      <w:pPr>
        <w:tabs>
          <w:tab w:val="left" w:pos="2410"/>
        </w:tabs>
        <w:autoSpaceDE w:val="0"/>
        <w:autoSpaceDN w:val="0"/>
        <w:adjustRightInd w:val="0"/>
        <w:snapToGrid w:val="0"/>
        <w:spacing w:line="360" w:lineRule="auto"/>
        <w:ind w:firstLine="1928" w:firstLineChars="600"/>
        <w:rPr>
          <w:rFonts w:ascii="宋体" w:hAnsi="宋体" w:cs="宋体"/>
          <w:b/>
          <w:spacing w:val="20"/>
          <w:kern w:val="0"/>
          <w:sz w:val="32"/>
          <w:szCs w:val="32"/>
        </w:rPr>
      </w:pPr>
      <w:r>
        <w:rPr>
          <w:rFonts w:hint="eastAsia" w:ascii="宋体" w:hAnsi="宋体" w:cs="宋体"/>
          <w:b/>
          <w:sz w:val="32"/>
        </w:rPr>
        <w:t>项目名称：</w:t>
      </w:r>
    </w:p>
    <w:p w14:paraId="2D36C891">
      <w:pPr>
        <w:tabs>
          <w:tab w:val="left" w:pos="2410"/>
        </w:tabs>
        <w:autoSpaceDE w:val="0"/>
        <w:autoSpaceDN w:val="0"/>
        <w:adjustRightInd w:val="0"/>
        <w:snapToGrid w:val="0"/>
        <w:spacing w:line="360" w:lineRule="auto"/>
        <w:ind w:firstLine="1928" w:firstLineChars="600"/>
        <w:rPr>
          <w:rFonts w:ascii="宋体" w:hAnsi="宋体" w:cs="宋体"/>
          <w:b/>
          <w:sz w:val="32"/>
          <w:u w:val="single"/>
        </w:rPr>
      </w:pPr>
      <w:r>
        <w:rPr>
          <w:rFonts w:hint="eastAsia" w:ascii="宋体" w:hAnsi="宋体" w:cs="宋体"/>
          <w:b/>
          <w:sz w:val="32"/>
        </w:rPr>
        <w:t>项目编号：</w:t>
      </w:r>
    </w:p>
    <w:p w14:paraId="4D6B53A4">
      <w:pPr>
        <w:tabs>
          <w:tab w:val="left" w:pos="2410"/>
        </w:tabs>
        <w:autoSpaceDE w:val="0"/>
        <w:autoSpaceDN w:val="0"/>
        <w:adjustRightInd w:val="0"/>
        <w:snapToGrid w:val="0"/>
        <w:spacing w:line="360" w:lineRule="auto"/>
        <w:ind w:firstLine="1928" w:firstLineChars="600"/>
        <w:rPr>
          <w:rFonts w:ascii="宋体" w:hAnsi="宋体" w:cs="宋体"/>
          <w:b/>
          <w:sz w:val="32"/>
          <w:u w:val="single"/>
        </w:rPr>
      </w:pPr>
      <w:r>
        <w:rPr>
          <w:rFonts w:hint="eastAsia" w:ascii="宋体" w:hAnsi="宋体" w:cs="宋体"/>
          <w:b/>
          <w:sz w:val="32"/>
        </w:rPr>
        <w:t>供 应 商：</w:t>
      </w:r>
      <w:r>
        <w:rPr>
          <w:rFonts w:hint="eastAsia" w:ascii="宋体" w:hAnsi="宋体" w:cs="宋体"/>
          <w:b/>
          <w:sz w:val="32"/>
          <w:u w:val="single"/>
        </w:rPr>
        <w:t>（盖章）</w:t>
      </w:r>
    </w:p>
    <w:p w14:paraId="6CEE1622">
      <w:pPr>
        <w:tabs>
          <w:tab w:val="left" w:pos="2410"/>
        </w:tabs>
        <w:autoSpaceDE w:val="0"/>
        <w:autoSpaceDN w:val="0"/>
        <w:adjustRightInd w:val="0"/>
        <w:snapToGrid w:val="0"/>
        <w:spacing w:line="360" w:lineRule="auto"/>
        <w:ind w:firstLine="1928" w:firstLineChars="600"/>
        <w:rPr>
          <w:rFonts w:ascii="宋体" w:hAnsi="宋体" w:cs="宋体"/>
          <w:b/>
          <w:sz w:val="32"/>
          <w:u w:val="single"/>
        </w:rPr>
      </w:pPr>
    </w:p>
    <w:p w14:paraId="4B545D39">
      <w:pPr>
        <w:spacing w:afterLines="50" w:line="500" w:lineRule="exact"/>
        <w:jc w:val="center"/>
        <w:rPr>
          <w:rFonts w:ascii="宋体" w:hAnsi="宋体" w:cs="宋体"/>
          <w:b/>
          <w:sz w:val="28"/>
        </w:rPr>
      </w:pPr>
      <w:bookmarkStart w:id="106" w:name="_Toc8037"/>
      <w:r>
        <w:rPr>
          <w:rFonts w:hint="eastAsia" w:ascii="宋体" w:hAnsi="宋体" w:cs="宋体"/>
          <w:b/>
          <w:sz w:val="32"/>
        </w:rPr>
        <w:t>年月日</w:t>
      </w:r>
      <w:bookmarkEnd w:id="106"/>
      <w:r>
        <w:rPr>
          <w:rFonts w:hint="eastAsia" w:ascii="宋体" w:hAnsi="宋体" w:cs="宋体"/>
          <w:b/>
          <w:sz w:val="28"/>
        </w:rPr>
        <w:br w:type="page"/>
      </w:r>
    </w:p>
    <w:p w14:paraId="45FAB5E8">
      <w:pPr>
        <w:spacing w:line="360" w:lineRule="auto"/>
        <w:jc w:val="center"/>
        <w:rPr>
          <w:rFonts w:ascii="宋体" w:hAnsi="宋体" w:cs="宋体"/>
          <w:bCs/>
          <w:sz w:val="24"/>
        </w:rPr>
      </w:pPr>
      <w:bookmarkStart w:id="107" w:name="_Toc17986"/>
      <w:bookmarkStart w:id="108" w:name="_Toc28960"/>
      <w:bookmarkStart w:id="109" w:name="_Toc9708"/>
      <w:bookmarkStart w:id="110" w:name="_Toc32353"/>
      <w:bookmarkStart w:id="111" w:name="_Toc520983587"/>
      <w:bookmarkStart w:id="112" w:name="_Toc461053086"/>
      <w:bookmarkStart w:id="113" w:name="_Toc461056631"/>
      <w:bookmarkStart w:id="114" w:name="_Toc5881"/>
      <w:bookmarkStart w:id="115" w:name="_Toc26791"/>
      <w:r>
        <w:rPr>
          <w:rFonts w:hint="eastAsia" w:ascii="宋体" w:hAnsi="宋体" w:cs="宋体"/>
          <w:b/>
          <w:sz w:val="24"/>
        </w:rPr>
        <w:t>一、</w:t>
      </w:r>
      <w:bookmarkStart w:id="116" w:name="_Toc6120"/>
      <w:bookmarkStart w:id="117" w:name="_Toc6441"/>
      <w:r>
        <w:rPr>
          <w:rFonts w:hint="eastAsia" w:ascii="宋体" w:hAnsi="宋体" w:cs="宋体"/>
          <w:b/>
          <w:sz w:val="24"/>
        </w:rPr>
        <w:t>供应商基本情况</w:t>
      </w:r>
    </w:p>
    <w:p w14:paraId="5509037B">
      <w:pPr>
        <w:spacing w:line="360" w:lineRule="auto"/>
        <w:jc w:val="center"/>
        <w:outlineLvl w:val="1"/>
        <w:rPr>
          <w:rFonts w:ascii="宋体" w:hAnsi="宋体" w:cs="宋体"/>
          <w:b/>
          <w:sz w:val="24"/>
        </w:rPr>
      </w:pPr>
      <w:r>
        <w:rPr>
          <w:rFonts w:hint="eastAsia" w:ascii="宋体" w:hAnsi="宋体" w:cs="宋体"/>
          <w:bCs/>
          <w:sz w:val="24"/>
        </w:rPr>
        <w:t>（营业执照资质证书等，供应商可根据自身情况另行提供单位简介等相关材料）</w:t>
      </w:r>
    </w:p>
    <w:p w14:paraId="7208C5C3">
      <w:pPr>
        <w:spacing w:line="360" w:lineRule="auto"/>
        <w:jc w:val="center"/>
        <w:outlineLvl w:val="1"/>
        <w:rPr>
          <w:rFonts w:ascii="宋体" w:hAnsi="宋体" w:cs="宋体"/>
          <w:b/>
          <w:sz w:val="24"/>
        </w:rPr>
      </w:pPr>
    </w:p>
    <w:p w14:paraId="27E25D68">
      <w:pPr>
        <w:rPr>
          <w:rFonts w:ascii="宋体" w:hAnsi="宋体" w:cs="宋体"/>
          <w:b/>
          <w:sz w:val="24"/>
        </w:rPr>
      </w:pPr>
      <w:r>
        <w:rPr>
          <w:rFonts w:hint="eastAsia" w:ascii="宋体" w:hAnsi="宋体" w:cs="宋体"/>
          <w:b/>
          <w:sz w:val="24"/>
        </w:rPr>
        <w:br w:type="page"/>
      </w:r>
    </w:p>
    <w:p w14:paraId="39A530F4">
      <w:pPr>
        <w:spacing w:line="360" w:lineRule="auto"/>
        <w:jc w:val="center"/>
        <w:outlineLvl w:val="1"/>
        <w:rPr>
          <w:rFonts w:ascii="宋体" w:hAnsi="宋体" w:cs="宋体"/>
          <w:b/>
          <w:sz w:val="24"/>
        </w:rPr>
      </w:pPr>
      <w:r>
        <w:rPr>
          <w:rFonts w:hint="eastAsia" w:ascii="宋体" w:hAnsi="宋体" w:cs="宋体"/>
          <w:b/>
          <w:sz w:val="24"/>
        </w:rPr>
        <w:t>二、</w:t>
      </w:r>
      <w:bookmarkEnd w:id="116"/>
      <w:bookmarkEnd w:id="117"/>
      <w:r>
        <w:rPr>
          <w:rFonts w:hint="eastAsia" w:ascii="宋体" w:hAnsi="宋体" w:cs="宋体"/>
          <w:b/>
          <w:sz w:val="24"/>
        </w:rPr>
        <w:t>响应函</w:t>
      </w:r>
    </w:p>
    <w:p w14:paraId="6A18EF25">
      <w:pPr>
        <w:pStyle w:val="14"/>
        <w:spacing w:line="360" w:lineRule="auto"/>
        <w:rPr>
          <w:rFonts w:ascii="宋体" w:hAnsi="宋体" w:cs="宋体"/>
          <w:sz w:val="24"/>
        </w:rPr>
      </w:pPr>
    </w:p>
    <w:p w14:paraId="2D16BDD1">
      <w:pPr>
        <w:pStyle w:val="14"/>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发包人名称</w:t>
      </w:r>
    </w:p>
    <w:p w14:paraId="01CA9C99">
      <w:pPr>
        <w:spacing w:line="360" w:lineRule="auto"/>
        <w:ind w:firstLine="480" w:firstLineChars="200"/>
        <w:rPr>
          <w:rFonts w:ascii="宋体" w:hAnsi="宋体" w:cs="宋体"/>
          <w:dstrike/>
          <w:sz w:val="24"/>
        </w:rPr>
      </w:pPr>
      <w:r>
        <w:rPr>
          <w:rFonts w:hint="eastAsia" w:ascii="宋体" w:hAnsi="宋体" w:cs="宋体"/>
          <w:sz w:val="24"/>
        </w:rPr>
        <w:t>根据贵方的采购邀请和发包文件，我方兹宣布同意如下：</w:t>
      </w:r>
    </w:p>
    <w:p w14:paraId="5E6305AE">
      <w:pPr>
        <w:spacing w:line="360" w:lineRule="auto"/>
        <w:ind w:firstLine="435"/>
        <w:rPr>
          <w:rFonts w:ascii="宋体" w:hAnsi="宋体" w:cs="宋体"/>
          <w:sz w:val="24"/>
        </w:rPr>
      </w:pPr>
      <w:r>
        <w:rPr>
          <w:rFonts w:hint="eastAsia" w:ascii="宋体" w:hAnsi="宋体" w:cs="宋体"/>
          <w:sz w:val="24"/>
        </w:rPr>
        <w:t>1.</w:t>
      </w:r>
      <w:r>
        <w:rPr>
          <w:rFonts w:hint="eastAsia" w:ascii="宋体" w:hAnsi="宋体" w:cs="宋体"/>
          <w:sz w:val="24"/>
          <w:szCs w:val="24"/>
        </w:rPr>
        <w:t>我方根据发包文件的规定，严格履行合同的责任和义务,并保证于买方要求的日期内完成，并通过买方验收。</w:t>
      </w:r>
    </w:p>
    <w:p w14:paraId="4142370C">
      <w:pPr>
        <w:spacing w:line="360" w:lineRule="auto"/>
        <w:ind w:firstLine="435"/>
        <w:rPr>
          <w:rFonts w:ascii="宋体" w:hAnsi="宋体" w:cs="宋体"/>
          <w:sz w:val="24"/>
        </w:rPr>
      </w:pPr>
      <w:r>
        <w:rPr>
          <w:rFonts w:hint="eastAsia" w:ascii="宋体" w:hAnsi="宋体" w:cs="宋体"/>
          <w:sz w:val="24"/>
        </w:rPr>
        <w:t>2.我方已详细审核全部发包文件，包括发包文件附件及更正公告（如有），我方正式认可并遵守本次发包文件，并对发包文件各项条款、规定及要求均无异议。</w:t>
      </w:r>
    </w:p>
    <w:p w14:paraId="446F1FFC">
      <w:pPr>
        <w:spacing w:line="360" w:lineRule="auto"/>
        <w:ind w:firstLine="435"/>
        <w:rPr>
          <w:rFonts w:ascii="宋体" w:hAnsi="宋体" w:cs="宋体"/>
          <w:sz w:val="24"/>
        </w:rPr>
      </w:pPr>
      <w:r>
        <w:rPr>
          <w:rFonts w:hint="eastAsia" w:ascii="宋体" w:hAnsi="宋体" w:cs="宋体"/>
          <w:sz w:val="24"/>
        </w:rPr>
        <w:t>3.我方同意从发包文件规定的发包日期起遵循本发包文件，并在发包文件规定的响应有效期之前均具有约束力。</w:t>
      </w:r>
    </w:p>
    <w:p w14:paraId="681720D4">
      <w:pPr>
        <w:spacing w:line="360" w:lineRule="auto"/>
        <w:ind w:firstLine="435"/>
        <w:rPr>
          <w:rFonts w:ascii="宋体" w:hAnsi="宋体" w:cs="宋体"/>
          <w:sz w:val="24"/>
        </w:rPr>
      </w:pPr>
      <w:r>
        <w:rPr>
          <w:rFonts w:hint="eastAsia" w:ascii="宋体" w:hAnsi="宋体" w:cs="宋体"/>
          <w:sz w:val="24"/>
        </w:rPr>
        <w:t>4.我方声明响应文件所提供的一切资料均真实无误、及时、有效，企业运营正常。由于我方提供资料不实而造成的责任和后果由我方承担。我方同意按照贵方提出的要求，提供与发包有关的任何证据、数据或资料。</w:t>
      </w:r>
    </w:p>
    <w:p w14:paraId="39740107">
      <w:pPr>
        <w:spacing w:line="360" w:lineRule="auto"/>
        <w:ind w:firstLine="480" w:firstLineChars="200"/>
        <w:rPr>
          <w:rFonts w:ascii="宋体" w:hAnsi="宋体" w:cs="宋体"/>
          <w:sz w:val="24"/>
        </w:rPr>
      </w:pPr>
    </w:p>
    <w:p w14:paraId="7675A6AA">
      <w:pPr>
        <w:spacing w:line="360" w:lineRule="auto"/>
        <w:ind w:firstLine="4800" w:firstLineChars="2000"/>
        <w:rPr>
          <w:rFonts w:ascii="宋体" w:hAnsi="宋体" w:cs="宋体"/>
          <w:sz w:val="24"/>
        </w:rPr>
      </w:pPr>
      <w:r>
        <w:rPr>
          <w:rFonts w:hint="eastAsia" w:ascii="宋体" w:hAnsi="宋体" w:cs="宋体"/>
          <w:sz w:val="24"/>
        </w:rPr>
        <w:t>供应商盖章：</w:t>
      </w:r>
    </w:p>
    <w:p w14:paraId="245A6A7E">
      <w:pPr>
        <w:spacing w:line="360" w:lineRule="auto"/>
        <w:ind w:firstLine="4800" w:firstLineChars="2000"/>
        <w:rPr>
          <w:rFonts w:ascii="宋体" w:hAnsi="宋体" w:cs="宋体"/>
          <w:sz w:val="24"/>
          <w:u w:val="single"/>
        </w:rPr>
      </w:pPr>
      <w:r>
        <w:rPr>
          <w:rFonts w:hint="eastAsia" w:ascii="宋体" w:hAnsi="宋体" w:cs="宋体"/>
          <w:sz w:val="24"/>
        </w:rPr>
        <w:t>日          期：</w:t>
      </w:r>
    </w:p>
    <w:p w14:paraId="525B2DE6">
      <w:pPr>
        <w:spacing w:line="360" w:lineRule="auto"/>
        <w:ind w:firstLine="4800" w:firstLineChars="2000"/>
        <w:rPr>
          <w:rFonts w:ascii="宋体" w:hAnsi="宋体" w:cs="宋体"/>
          <w:sz w:val="24"/>
          <w:u w:val="single"/>
        </w:rPr>
      </w:pPr>
    </w:p>
    <w:p w14:paraId="5A7AEFE4">
      <w:pPr>
        <w:spacing w:line="360" w:lineRule="auto"/>
        <w:jc w:val="center"/>
        <w:outlineLvl w:val="1"/>
        <w:rPr>
          <w:rFonts w:ascii="宋体" w:hAnsi="宋体" w:cs="宋体"/>
          <w:b/>
          <w:sz w:val="24"/>
        </w:rPr>
      </w:pPr>
      <w:r>
        <w:rPr>
          <w:rFonts w:hint="eastAsia" w:ascii="宋体" w:hAnsi="宋体" w:cs="宋体"/>
          <w:sz w:val="24"/>
          <w:u w:val="single"/>
        </w:rPr>
        <w:br w:type="page"/>
      </w:r>
      <w:bookmarkStart w:id="118" w:name="_Toc18881"/>
      <w:r>
        <w:rPr>
          <w:rFonts w:hint="eastAsia" w:ascii="宋体" w:hAnsi="宋体" w:cs="宋体"/>
          <w:b/>
          <w:sz w:val="24"/>
        </w:rPr>
        <w:t>三、授权书</w:t>
      </w:r>
    </w:p>
    <w:p w14:paraId="3123FCCC">
      <w:pPr>
        <w:spacing w:line="360" w:lineRule="auto"/>
        <w:jc w:val="center"/>
        <w:rPr>
          <w:rFonts w:ascii="宋体" w:hAnsi="宋体" w:cs="宋体"/>
          <w:b/>
          <w:sz w:val="24"/>
        </w:rPr>
      </w:pPr>
    </w:p>
    <w:p w14:paraId="277EABFB">
      <w:pPr>
        <w:pStyle w:val="13"/>
        <w:snapToGrid w:val="0"/>
        <w:spacing w:line="360" w:lineRule="auto"/>
        <w:ind w:firstLine="480" w:firstLineChars="200"/>
        <w:rPr>
          <w:rFonts w:hAnsi="宋体" w:eastAsia="宋体" w:cs="宋体"/>
          <w:sz w:val="24"/>
          <w:szCs w:val="28"/>
        </w:rPr>
      </w:pPr>
      <w:r>
        <w:rPr>
          <w:rFonts w:hint="eastAsia" w:hAnsi="宋体" w:eastAsia="宋体" w:cs="宋体"/>
          <w:sz w:val="24"/>
          <w:szCs w:val="28"/>
        </w:rPr>
        <w:t>本授权书声明：（供应商名称）授权（供应商授权代表姓名）代表我方参加本项目</w:t>
      </w:r>
      <w:r>
        <w:rPr>
          <w:rFonts w:hint="eastAsia" w:hAnsi="宋体" w:eastAsia="宋体" w:cs="宋体"/>
          <w:bCs/>
          <w:sz w:val="24"/>
          <w:szCs w:val="28"/>
        </w:rPr>
        <w:t>采购活动</w:t>
      </w:r>
      <w:r>
        <w:rPr>
          <w:rFonts w:hint="eastAsia" w:hAnsi="宋体" w:eastAsia="宋体" w:cs="宋体"/>
          <w:sz w:val="24"/>
          <w:szCs w:val="28"/>
        </w:rPr>
        <w:t>，全权代表我方处理发包过程的一切事宜，包括但不限于：提交响应文件、参与评审、签约等。供应商授权代表在采购活动过程中所签署的一切文件和处理与之有关的一切事务，本公司均予以认可并对此承担责任。供应商授权代表无转委托权。特此授权。</w:t>
      </w:r>
    </w:p>
    <w:p w14:paraId="45DB2E8A">
      <w:pPr>
        <w:pStyle w:val="13"/>
        <w:snapToGrid w:val="0"/>
        <w:spacing w:line="360" w:lineRule="auto"/>
        <w:ind w:firstLine="480" w:firstLineChars="200"/>
        <w:rPr>
          <w:rFonts w:hAnsi="宋体" w:eastAsia="宋体" w:cs="宋体"/>
          <w:sz w:val="24"/>
          <w:szCs w:val="28"/>
        </w:rPr>
      </w:pPr>
      <w:r>
        <w:rPr>
          <w:rFonts w:hint="eastAsia" w:hAnsi="宋体" w:eastAsia="宋体" w:cs="宋体"/>
          <w:sz w:val="24"/>
          <w:szCs w:val="28"/>
        </w:rPr>
        <w:t>本授权书自出具之日起生效。</w:t>
      </w:r>
    </w:p>
    <w:p w14:paraId="248C3601">
      <w:pPr>
        <w:pStyle w:val="13"/>
        <w:snapToGrid w:val="0"/>
        <w:spacing w:line="360" w:lineRule="auto"/>
        <w:ind w:firstLine="480" w:firstLineChars="200"/>
        <w:jc w:val="left"/>
        <w:rPr>
          <w:rFonts w:hAnsi="宋体" w:eastAsia="宋体" w:cs="宋体"/>
          <w:sz w:val="24"/>
          <w:szCs w:val="28"/>
        </w:rPr>
      </w:pPr>
    </w:p>
    <w:p w14:paraId="3EDC900F">
      <w:pPr>
        <w:pStyle w:val="13"/>
        <w:snapToGrid w:val="0"/>
        <w:spacing w:line="360" w:lineRule="auto"/>
        <w:ind w:firstLine="480" w:firstLineChars="200"/>
        <w:jc w:val="left"/>
        <w:rPr>
          <w:rFonts w:hAnsi="宋体" w:eastAsia="宋体" w:cs="宋体"/>
          <w:sz w:val="24"/>
        </w:rPr>
      </w:pPr>
      <w:r>
        <w:rPr>
          <w:rFonts w:hint="eastAsia" w:hAnsi="宋体" w:eastAsia="宋体" w:cs="宋体"/>
          <w:sz w:val="24"/>
          <w:szCs w:val="28"/>
        </w:rPr>
        <w:t>授权代表</w:t>
      </w:r>
      <w:r>
        <w:rPr>
          <w:rFonts w:hint="eastAsia" w:hAnsi="宋体" w:eastAsia="宋体" w:cs="宋体"/>
          <w:sz w:val="24"/>
        </w:rPr>
        <w:t>身份证明扫描件：</w:t>
      </w:r>
    </w:p>
    <w:p w14:paraId="633365C9">
      <w:pPr>
        <w:pStyle w:val="13"/>
        <w:snapToGrid w:val="0"/>
        <w:spacing w:line="360" w:lineRule="auto"/>
        <w:ind w:firstLine="480" w:firstLineChars="200"/>
        <w:jc w:val="left"/>
        <w:rPr>
          <w:rFonts w:hAnsi="宋体" w:eastAsia="宋体" w:cs="宋体"/>
          <w:sz w:val="24"/>
        </w:rPr>
      </w:pPr>
    </w:p>
    <w:p w14:paraId="7553B2C1">
      <w:pPr>
        <w:pStyle w:val="13"/>
        <w:snapToGrid w:val="0"/>
        <w:spacing w:line="360" w:lineRule="auto"/>
        <w:ind w:firstLine="480" w:firstLineChars="200"/>
        <w:jc w:val="left"/>
        <w:rPr>
          <w:rFonts w:hAnsi="宋体" w:eastAsia="宋体" w:cs="宋体"/>
          <w:sz w:val="24"/>
        </w:rPr>
      </w:pPr>
    </w:p>
    <w:p w14:paraId="7829840F">
      <w:pPr>
        <w:pStyle w:val="13"/>
        <w:snapToGrid w:val="0"/>
        <w:spacing w:line="360" w:lineRule="auto"/>
        <w:ind w:firstLine="480" w:firstLineChars="200"/>
        <w:jc w:val="left"/>
        <w:rPr>
          <w:rFonts w:hAnsi="宋体" w:eastAsia="宋体" w:cs="宋体"/>
          <w:sz w:val="24"/>
        </w:rPr>
      </w:pPr>
    </w:p>
    <w:p w14:paraId="6A118AD1">
      <w:pPr>
        <w:pStyle w:val="13"/>
        <w:snapToGrid w:val="0"/>
        <w:spacing w:line="360" w:lineRule="auto"/>
        <w:ind w:firstLine="480" w:firstLineChars="200"/>
        <w:jc w:val="left"/>
        <w:rPr>
          <w:rFonts w:hAnsi="宋体" w:eastAsia="宋体" w:cs="宋体"/>
          <w:sz w:val="24"/>
        </w:rPr>
      </w:pPr>
    </w:p>
    <w:p w14:paraId="5DC8FB67">
      <w:pPr>
        <w:pStyle w:val="13"/>
        <w:snapToGrid w:val="0"/>
        <w:spacing w:line="360" w:lineRule="auto"/>
        <w:ind w:firstLine="480" w:firstLineChars="200"/>
        <w:jc w:val="left"/>
        <w:rPr>
          <w:rFonts w:hAnsi="宋体" w:eastAsia="宋体" w:cs="宋体"/>
          <w:sz w:val="24"/>
          <w:szCs w:val="28"/>
          <w:u w:val="single"/>
        </w:rPr>
      </w:pPr>
      <w:r>
        <w:rPr>
          <w:rFonts w:hint="eastAsia" w:hAnsi="宋体" w:eastAsia="宋体" w:cs="宋体"/>
          <w:sz w:val="24"/>
          <w:szCs w:val="28"/>
        </w:rPr>
        <w:t>授权代表联系方式：（请填写手机号码）</w:t>
      </w:r>
    </w:p>
    <w:p w14:paraId="079A82F1">
      <w:pPr>
        <w:pStyle w:val="13"/>
        <w:snapToGrid w:val="0"/>
        <w:spacing w:line="360" w:lineRule="auto"/>
        <w:ind w:firstLine="480" w:firstLineChars="200"/>
        <w:jc w:val="left"/>
        <w:rPr>
          <w:rFonts w:hAnsi="宋体" w:eastAsia="宋体" w:cs="宋体"/>
          <w:sz w:val="24"/>
          <w:szCs w:val="28"/>
        </w:rPr>
      </w:pPr>
    </w:p>
    <w:p w14:paraId="50C7B8C3">
      <w:pPr>
        <w:spacing w:line="360" w:lineRule="auto"/>
        <w:ind w:firstLine="480" w:firstLineChars="200"/>
        <w:rPr>
          <w:rFonts w:ascii="宋体" w:hAnsi="宋体" w:cs="宋体"/>
          <w:sz w:val="24"/>
          <w:szCs w:val="28"/>
        </w:rPr>
      </w:pPr>
      <w:r>
        <w:rPr>
          <w:rFonts w:hint="eastAsia" w:ascii="宋体" w:hAnsi="宋体" w:cs="宋体"/>
          <w:sz w:val="24"/>
          <w:szCs w:val="28"/>
        </w:rPr>
        <w:t>特此声明。</w:t>
      </w:r>
    </w:p>
    <w:p w14:paraId="785FBFAF">
      <w:pPr>
        <w:spacing w:line="360" w:lineRule="auto"/>
        <w:rPr>
          <w:rFonts w:ascii="宋体" w:hAnsi="宋体" w:cs="宋体"/>
          <w:sz w:val="24"/>
          <w:szCs w:val="28"/>
        </w:rPr>
      </w:pPr>
    </w:p>
    <w:p w14:paraId="619AA2BD">
      <w:pPr>
        <w:spacing w:line="360" w:lineRule="auto"/>
        <w:ind w:firstLine="4800" w:firstLineChars="2000"/>
        <w:rPr>
          <w:rFonts w:ascii="宋体" w:hAnsi="宋体" w:cs="宋体"/>
          <w:sz w:val="24"/>
          <w:u w:val="single"/>
        </w:rPr>
      </w:pPr>
      <w:r>
        <w:rPr>
          <w:rFonts w:hint="eastAsia" w:ascii="宋体" w:hAnsi="宋体" w:cs="宋体"/>
          <w:sz w:val="24"/>
        </w:rPr>
        <w:t>供应商盖章：</w:t>
      </w:r>
    </w:p>
    <w:p w14:paraId="6EA5A105">
      <w:pPr>
        <w:tabs>
          <w:tab w:val="left" w:pos="630"/>
        </w:tabs>
        <w:spacing w:line="360" w:lineRule="auto"/>
        <w:ind w:firstLine="4800" w:firstLineChars="2000"/>
        <w:rPr>
          <w:rFonts w:ascii="宋体" w:hAnsi="宋体" w:cs="宋体"/>
          <w:sz w:val="24"/>
          <w:szCs w:val="28"/>
        </w:rPr>
      </w:pPr>
      <w:r>
        <w:rPr>
          <w:rFonts w:hint="eastAsia" w:ascii="宋体" w:hAnsi="宋体" w:cs="宋体"/>
          <w:sz w:val="24"/>
        </w:rPr>
        <w:t>日          期：</w:t>
      </w:r>
    </w:p>
    <w:p w14:paraId="7A48813F">
      <w:pPr>
        <w:spacing w:line="360" w:lineRule="auto"/>
        <w:rPr>
          <w:rFonts w:ascii="宋体" w:hAnsi="宋体" w:cs="宋体"/>
          <w:sz w:val="24"/>
          <w:szCs w:val="28"/>
        </w:rPr>
      </w:pPr>
    </w:p>
    <w:p w14:paraId="39054F93">
      <w:pPr>
        <w:spacing w:line="360" w:lineRule="auto"/>
        <w:rPr>
          <w:rFonts w:ascii="宋体" w:hAnsi="宋体" w:cs="宋体"/>
          <w:sz w:val="24"/>
          <w:szCs w:val="28"/>
        </w:rPr>
      </w:pPr>
    </w:p>
    <w:p w14:paraId="10FFA136">
      <w:pPr>
        <w:pStyle w:val="13"/>
        <w:snapToGrid w:val="0"/>
        <w:spacing w:line="360" w:lineRule="auto"/>
        <w:jc w:val="left"/>
        <w:rPr>
          <w:rFonts w:hAnsi="宋体" w:eastAsia="宋体" w:cs="宋体"/>
          <w:sz w:val="24"/>
          <w:szCs w:val="28"/>
        </w:rPr>
      </w:pPr>
      <w:r>
        <w:rPr>
          <w:rFonts w:hint="eastAsia" w:hAnsi="宋体" w:eastAsia="宋体" w:cs="宋体"/>
          <w:sz w:val="24"/>
          <w:szCs w:val="28"/>
        </w:rPr>
        <w:t>注：</w:t>
      </w:r>
    </w:p>
    <w:p w14:paraId="669BA7F7">
      <w:pPr>
        <w:pStyle w:val="13"/>
        <w:snapToGrid w:val="0"/>
        <w:spacing w:line="360" w:lineRule="auto"/>
        <w:jc w:val="left"/>
        <w:rPr>
          <w:rFonts w:hAnsi="宋体" w:eastAsia="宋体" w:cs="宋体"/>
          <w:sz w:val="24"/>
          <w:szCs w:val="28"/>
        </w:rPr>
      </w:pPr>
      <w:r>
        <w:rPr>
          <w:rFonts w:hint="eastAsia" w:hAnsi="宋体" w:eastAsia="宋体" w:cs="宋体"/>
          <w:sz w:val="24"/>
          <w:szCs w:val="28"/>
        </w:rPr>
        <w:t>1.本项目只允许有唯一的供应商授权代表，提供身份证明扫描件；</w:t>
      </w:r>
    </w:p>
    <w:p w14:paraId="31E0E26D">
      <w:pPr>
        <w:spacing w:line="360" w:lineRule="auto"/>
        <w:jc w:val="left"/>
        <w:rPr>
          <w:rFonts w:ascii="宋体" w:hAnsi="宋体" w:cs="宋体"/>
          <w:sz w:val="24"/>
        </w:rPr>
      </w:pPr>
      <w:r>
        <w:rPr>
          <w:rFonts w:hint="eastAsia" w:ascii="宋体" w:hAnsi="宋体" w:cs="宋体"/>
          <w:sz w:val="24"/>
        </w:rPr>
        <w:t>2.法定代表人参加评审的无需提供授权书，仅提供身份证明扫描件。</w:t>
      </w:r>
    </w:p>
    <w:p w14:paraId="068BEDDC">
      <w:pPr>
        <w:spacing w:line="360" w:lineRule="auto"/>
        <w:ind w:firstLine="435"/>
        <w:rPr>
          <w:rFonts w:ascii="宋体" w:hAnsi="宋体" w:cs="宋体"/>
          <w:sz w:val="24"/>
        </w:rPr>
      </w:pPr>
    </w:p>
    <w:p w14:paraId="5C5AFA26">
      <w:pPr>
        <w:rPr>
          <w:rFonts w:ascii="宋体" w:hAnsi="宋体" w:cs="宋体"/>
          <w:sz w:val="24"/>
          <w:u w:val="single"/>
        </w:rPr>
      </w:pPr>
    </w:p>
    <w:p w14:paraId="02839EF1">
      <w:pPr>
        <w:rPr>
          <w:rFonts w:ascii="宋体" w:hAnsi="宋体" w:cs="宋体"/>
          <w:b/>
          <w:sz w:val="24"/>
        </w:rPr>
      </w:pPr>
      <w:r>
        <w:rPr>
          <w:rFonts w:hint="eastAsia" w:ascii="宋体" w:hAnsi="宋体" w:cs="宋体"/>
          <w:b/>
          <w:sz w:val="24"/>
        </w:rPr>
        <w:br w:type="page"/>
      </w:r>
    </w:p>
    <w:p w14:paraId="038CC33B">
      <w:pPr>
        <w:spacing w:line="360" w:lineRule="auto"/>
        <w:jc w:val="center"/>
        <w:outlineLvl w:val="1"/>
        <w:rPr>
          <w:rFonts w:ascii="宋体" w:hAnsi="宋体" w:cs="宋体"/>
          <w:b/>
          <w:sz w:val="24"/>
        </w:rPr>
      </w:pPr>
      <w:r>
        <w:rPr>
          <w:rFonts w:hint="eastAsia" w:ascii="宋体" w:hAnsi="宋体" w:cs="宋体"/>
          <w:b/>
          <w:sz w:val="24"/>
        </w:rPr>
        <w:t>四、</w:t>
      </w:r>
      <w:bookmarkEnd w:id="118"/>
      <w:r>
        <w:rPr>
          <w:rFonts w:hint="eastAsia" w:ascii="宋体" w:hAnsi="宋体" w:cs="宋体"/>
          <w:b/>
          <w:sz w:val="24"/>
        </w:rPr>
        <w:t>供应商资格声明书</w:t>
      </w:r>
    </w:p>
    <w:p w14:paraId="4A7247F2">
      <w:pPr>
        <w:pStyle w:val="14"/>
        <w:spacing w:line="360" w:lineRule="auto"/>
        <w:rPr>
          <w:rFonts w:ascii="宋体" w:hAnsi="宋体" w:cs="宋体"/>
          <w:sz w:val="24"/>
        </w:rPr>
      </w:pPr>
    </w:p>
    <w:p w14:paraId="07314735">
      <w:pPr>
        <w:pStyle w:val="14"/>
        <w:spacing w:line="360" w:lineRule="auto"/>
        <w:rPr>
          <w:rFonts w:ascii="宋体" w:hAnsi="宋体" w:cs="宋体"/>
          <w:sz w:val="24"/>
          <w:szCs w:val="24"/>
        </w:rPr>
      </w:pPr>
      <w:r>
        <w:rPr>
          <w:rFonts w:hint="eastAsia" w:ascii="宋体" w:hAnsi="宋体" w:cs="宋体"/>
          <w:sz w:val="24"/>
        </w:rPr>
        <w:t>致：</w:t>
      </w:r>
      <w:r>
        <w:rPr>
          <w:rFonts w:hint="eastAsia" w:ascii="宋体" w:hAnsi="宋体" w:cs="宋体"/>
          <w:sz w:val="24"/>
          <w:u w:val="single"/>
        </w:rPr>
        <w:t>发包人名称</w:t>
      </w:r>
    </w:p>
    <w:p w14:paraId="5B7BF6C8">
      <w:pPr>
        <w:widowControl/>
        <w:spacing w:line="360" w:lineRule="auto"/>
        <w:ind w:firstLine="480" w:firstLineChars="200"/>
        <w:jc w:val="left"/>
        <w:rPr>
          <w:rFonts w:ascii="宋体" w:hAnsi="宋体" w:cs="宋体"/>
          <w:sz w:val="24"/>
          <w:szCs w:val="24"/>
        </w:rPr>
      </w:pPr>
      <w:r>
        <w:rPr>
          <w:rFonts w:hint="eastAsia" w:ascii="宋体" w:hAnsi="宋体" w:cs="宋体"/>
          <w:kern w:val="0"/>
          <w:sz w:val="24"/>
          <w:szCs w:val="24"/>
        </w:rPr>
        <w:t>在参与本次项目评审中，我单位承诺：</w:t>
      </w:r>
    </w:p>
    <w:p w14:paraId="1F2E48AE">
      <w:pPr>
        <w:widowControl/>
        <w:spacing w:line="360" w:lineRule="auto"/>
        <w:ind w:firstLine="480" w:firstLineChars="200"/>
        <w:jc w:val="left"/>
        <w:rPr>
          <w:rFonts w:ascii="宋体" w:hAnsi="宋体" w:cs="宋体"/>
          <w:sz w:val="24"/>
          <w:szCs w:val="24"/>
        </w:rPr>
      </w:pPr>
      <w:r>
        <w:rPr>
          <w:rFonts w:hint="eastAsia" w:ascii="宋体" w:hAnsi="宋体" w:cs="宋体"/>
          <w:kern w:val="0"/>
          <w:sz w:val="24"/>
          <w:szCs w:val="24"/>
        </w:rPr>
        <w:t>（一）具有良好的商业信誉和健全的财务会计制度；</w:t>
      </w:r>
    </w:p>
    <w:p w14:paraId="2F716893">
      <w:pPr>
        <w:widowControl/>
        <w:spacing w:line="360" w:lineRule="auto"/>
        <w:ind w:firstLine="480" w:firstLineChars="200"/>
        <w:jc w:val="left"/>
        <w:rPr>
          <w:rFonts w:ascii="宋体" w:hAnsi="宋体" w:cs="宋体"/>
          <w:sz w:val="24"/>
          <w:szCs w:val="24"/>
        </w:rPr>
      </w:pPr>
      <w:r>
        <w:rPr>
          <w:rFonts w:hint="eastAsia" w:ascii="宋体" w:hAnsi="宋体" w:cs="宋体"/>
          <w:kern w:val="0"/>
          <w:sz w:val="24"/>
          <w:szCs w:val="24"/>
        </w:rPr>
        <w:t>（二）具有履行合同所必需的设备和专业技术能力；</w:t>
      </w:r>
    </w:p>
    <w:p w14:paraId="3F87021C">
      <w:pPr>
        <w:widowControl/>
        <w:spacing w:line="360" w:lineRule="auto"/>
        <w:ind w:firstLine="480" w:firstLineChars="200"/>
        <w:jc w:val="left"/>
        <w:rPr>
          <w:rFonts w:ascii="宋体" w:hAnsi="宋体" w:cs="宋体"/>
          <w:sz w:val="24"/>
          <w:szCs w:val="24"/>
        </w:rPr>
      </w:pPr>
      <w:r>
        <w:rPr>
          <w:rFonts w:hint="eastAsia" w:ascii="宋体" w:hAnsi="宋体" w:cs="宋体"/>
          <w:kern w:val="0"/>
          <w:sz w:val="24"/>
          <w:szCs w:val="24"/>
        </w:rPr>
        <w:t>（三）有依法缴纳税收和社会保障资金的良好记录；</w:t>
      </w:r>
    </w:p>
    <w:p w14:paraId="30BB2BBF">
      <w:pPr>
        <w:widowControl/>
        <w:spacing w:line="360" w:lineRule="auto"/>
        <w:ind w:firstLine="480" w:firstLineChars="200"/>
        <w:jc w:val="left"/>
        <w:rPr>
          <w:rFonts w:ascii="宋体" w:hAnsi="宋体" w:cs="宋体"/>
          <w:sz w:val="24"/>
          <w:szCs w:val="24"/>
        </w:rPr>
      </w:pPr>
      <w:r>
        <w:rPr>
          <w:rFonts w:hint="eastAsia" w:ascii="宋体" w:hAnsi="宋体" w:cs="宋体"/>
          <w:kern w:val="0"/>
          <w:sz w:val="24"/>
          <w:szCs w:val="24"/>
        </w:rPr>
        <w:t>（四）参加采购活动前三年内，在经营活动中没有重大违法记录（重大违法记录指因违法经营受到刑事处罚或者责令停产停业、吊销许可证或者执照、较大数额罚款等行政处罚）；</w:t>
      </w:r>
    </w:p>
    <w:p w14:paraId="49A258C6">
      <w:pPr>
        <w:widowControl/>
        <w:spacing w:line="360" w:lineRule="auto"/>
        <w:ind w:firstLine="480" w:firstLineChars="200"/>
        <w:jc w:val="left"/>
        <w:rPr>
          <w:rFonts w:ascii="宋体" w:hAnsi="宋体" w:cs="宋体"/>
          <w:sz w:val="24"/>
          <w:szCs w:val="24"/>
        </w:rPr>
      </w:pPr>
      <w:r>
        <w:rPr>
          <w:rFonts w:hint="eastAsia" w:ascii="宋体" w:hAnsi="宋体" w:cs="宋体"/>
          <w:kern w:val="0"/>
          <w:sz w:val="24"/>
          <w:szCs w:val="24"/>
        </w:rPr>
        <w:t>（五）我单位不存在为采购项目提供整体设计、规范编制或者项目管理、监理、检测等服务后，再参加该采购项目的其他采购活动的情形；</w:t>
      </w:r>
    </w:p>
    <w:p w14:paraId="5E715643">
      <w:pPr>
        <w:widowControl/>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（六）与我单位存在单位负责人为同一人或者存在直接控股、管理关系的其他法人单位信息如下（如有，不论其是否参加同一合同项下的采购活动均须填写）：</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4186"/>
        <w:gridCol w:w="2508"/>
      </w:tblGrid>
      <w:tr w14:paraId="1E79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934" w:type="dxa"/>
            <w:vAlign w:val="center"/>
          </w:tcPr>
          <w:p w14:paraId="5E8A747F">
            <w:pPr>
              <w:widowControl/>
              <w:spacing w:line="400" w:lineRule="exact"/>
              <w:jc w:val="center"/>
              <w:rPr>
                <w:rFonts w:ascii="宋体" w:hAnsi="宋体" w:cs="宋体"/>
                <w:kern w:val="0"/>
                <w:sz w:val="24"/>
                <w:szCs w:val="24"/>
              </w:rPr>
            </w:pPr>
            <w:r>
              <w:rPr>
                <w:rFonts w:hint="eastAsia" w:ascii="宋体" w:hAnsi="宋体" w:cs="宋体"/>
                <w:kern w:val="0"/>
                <w:sz w:val="24"/>
                <w:szCs w:val="24"/>
              </w:rPr>
              <w:t>序号</w:t>
            </w:r>
          </w:p>
        </w:tc>
        <w:tc>
          <w:tcPr>
            <w:tcW w:w="4501" w:type="dxa"/>
            <w:vAlign w:val="center"/>
          </w:tcPr>
          <w:p w14:paraId="1B0E25EB">
            <w:pPr>
              <w:pStyle w:val="8"/>
              <w:spacing w:after="0" w:line="400" w:lineRule="exact"/>
              <w:jc w:val="center"/>
              <w:rPr>
                <w:rFonts w:ascii="宋体" w:hAnsi="宋体" w:eastAsia="宋体" w:cs="宋体"/>
                <w:kern w:val="0"/>
                <w:sz w:val="24"/>
                <w:lang w:val="en-US"/>
              </w:rPr>
            </w:pPr>
            <w:r>
              <w:rPr>
                <w:rFonts w:hint="eastAsia" w:ascii="宋体" w:hAnsi="宋体" w:eastAsia="宋体" w:cs="宋体"/>
                <w:kern w:val="0"/>
                <w:sz w:val="24"/>
                <w:lang w:val="en-US"/>
              </w:rPr>
              <w:t>单位名称</w:t>
            </w:r>
          </w:p>
        </w:tc>
        <w:tc>
          <w:tcPr>
            <w:tcW w:w="2681" w:type="dxa"/>
            <w:vAlign w:val="center"/>
          </w:tcPr>
          <w:p w14:paraId="6ED42BE8">
            <w:pPr>
              <w:pStyle w:val="8"/>
              <w:spacing w:after="0" w:line="400" w:lineRule="exact"/>
              <w:jc w:val="center"/>
              <w:rPr>
                <w:rFonts w:ascii="宋体" w:hAnsi="宋体" w:eastAsia="宋体" w:cs="宋体"/>
                <w:kern w:val="0"/>
                <w:sz w:val="24"/>
                <w:lang w:val="en-US"/>
              </w:rPr>
            </w:pPr>
            <w:r>
              <w:rPr>
                <w:rFonts w:hint="eastAsia" w:ascii="宋体" w:hAnsi="宋体" w:eastAsia="宋体" w:cs="宋体"/>
                <w:kern w:val="0"/>
                <w:sz w:val="24"/>
                <w:lang w:val="en-US"/>
              </w:rPr>
              <w:t>相互关系</w:t>
            </w:r>
          </w:p>
        </w:tc>
      </w:tr>
      <w:tr w14:paraId="130C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934" w:type="dxa"/>
            <w:vAlign w:val="center"/>
          </w:tcPr>
          <w:p w14:paraId="0C39FC42">
            <w:pPr>
              <w:pStyle w:val="8"/>
              <w:spacing w:after="0" w:line="400" w:lineRule="exact"/>
              <w:jc w:val="center"/>
              <w:rPr>
                <w:rFonts w:ascii="宋体" w:hAnsi="宋体" w:eastAsia="宋体" w:cs="宋体"/>
                <w:kern w:val="0"/>
                <w:sz w:val="24"/>
                <w:lang w:val="en-US"/>
              </w:rPr>
            </w:pPr>
            <w:r>
              <w:rPr>
                <w:rFonts w:hint="eastAsia" w:ascii="宋体" w:hAnsi="宋体" w:eastAsia="宋体" w:cs="宋体"/>
                <w:kern w:val="0"/>
                <w:sz w:val="24"/>
                <w:lang w:val="en-US"/>
              </w:rPr>
              <w:t>1</w:t>
            </w:r>
          </w:p>
        </w:tc>
        <w:tc>
          <w:tcPr>
            <w:tcW w:w="4501" w:type="dxa"/>
            <w:vAlign w:val="center"/>
          </w:tcPr>
          <w:p w14:paraId="04BED9C3">
            <w:pPr>
              <w:pStyle w:val="8"/>
              <w:spacing w:after="0" w:line="400" w:lineRule="exact"/>
              <w:jc w:val="center"/>
              <w:rPr>
                <w:rFonts w:ascii="宋体" w:hAnsi="宋体" w:eastAsia="宋体" w:cs="宋体"/>
                <w:kern w:val="0"/>
                <w:sz w:val="24"/>
                <w:lang w:val="en-US"/>
              </w:rPr>
            </w:pPr>
          </w:p>
        </w:tc>
        <w:tc>
          <w:tcPr>
            <w:tcW w:w="2681" w:type="dxa"/>
            <w:vAlign w:val="center"/>
          </w:tcPr>
          <w:p w14:paraId="2AF70A1A">
            <w:pPr>
              <w:pStyle w:val="8"/>
              <w:spacing w:after="0" w:line="400" w:lineRule="exact"/>
              <w:jc w:val="center"/>
              <w:rPr>
                <w:rFonts w:ascii="宋体" w:hAnsi="宋体" w:eastAsia="宋体" w:cs="宋体"/>
                <w:kern w:val="0"/>
                <w:sz w:val="24"/>
                <w:lang w:val="en-US"/>
              </w:rPr>
            </w:pPr>
          </w:p>
        </w:tc>
      </w:tr>
      <w:tr w14:paraId="0888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934" w:type="dxa"/>
            <w:vAlign w:val="center"/>
          </w:tcPr>
          <w:p w14:paraId="55F11E79">
            <w:pPr>
              <w:pStyle w:val="8"/>
              <w:spacing w:after="0" w:line="400" w:lineRule="exact"/>
              <w:jc w:val="center"/>
              <w:rPr>
                <w:rFonts w:ascii="宋体" w:hAnsi="宋体" w:eastAsia="宋体" w:cs="宋体"/>
                <w:kern w:val="0"/>
                <w:sz w:val="24"/>
                <w:lang w:val="en-US"/>
              </w:rPr>
            </w:pPr>
            <w:r>
              <w:rPr>
                <w:rFonts w:hint="eastAsia" w:ascii="宋体" w:hAnsi="宋体" w:eastAsia="宋体" w:cs="宋体"/>
                <w:kern w:val="0"/>
                <w:sz w:val="24"/>
                <w:lang w:val="en-US"/>
              </w:rPr>
              <w:t>2</w:t>
            </w:r>
          </w:p>
        </w:tc>
        <w:tc>
          <w:tcPr>
            <w:tcW w:w="4501" w:type="dxa"/>
            <w:vAlign w:val="center"/>
          </w:tcPr>
          <w:p w14:paraId="63CCC6AD">
            <w:pPr>
              <w:pStyle w:val="8"/>
              <w:spacing w:after="0" w:line="400" w:lineRule="exact"/>
              <w:jc w:val="center"/>
              <w:rPr>
                <w:rFonts w:ascii="宋体" w:hAnsi="宋体" w:eastAsia="宋体" w:cs="宋体"/>
                <w:kern w:val="0"/>
                <w:sz w:val="24"/>
                <w:lang w:val="en-US"/>
              </w:rPr>
            </w:pPr>
          </w:p>
        </w:tc>
        <w:tc>
          <w:tcPr>
            <w:tcW w:w="2681" w:type="dxa"/>
            <w:vAlign w:val="center"/>
          </w:tcPr>
          <w:p w14:paraId="6BB0EE13">
            <w:pPr>
              <w:pStyle w:val="8"/>
              <w:spacing w:after="0" w:line="400" w:lineRule="exact"/>
              <w:jc w:val="center"/>
              <w:rPr>
                <w:rFonts w:ascii="宋体" w:hAnsi="宋体" w:eastAsia="宋体" w:cs="宋体"/>
                <w:kern w:val="0"/>
                <w:sz w:val="24"/>
                <w:lang w:val="en-US"/>
              </w:rPr>
            </w:pPr>
          </w:p>
        </w:tc>
      </w:tr>
      <w:tr w14:paraId="7EF0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934" w:type="dxa"/>
            <w:vAlign w:val="center"/>
          </w:tcPr>
          <w:p w14:paraId="2E19C826">
            <w:pPr>
              <w:pStyle w:val="8"/>
              <w:spacing w:after="0" w:line="400" w:lineRule="exact"/>
              <w:jc w:val="center"/>
              <w:rPr>
                <w:rFonts w:ascii="宋体" w:hAnsi="宋体" w:eastAsia="宋体" w:cs="宋体"/>
                <w:kern w:val="0"/>
                <w:sz w:val="24"/>
                <w:lang w:val="en-US"/>
              </w:rPr>
            </w:pPr>
            <w:r>
              <w:rPr>
                <w:rFonts w:hint="eastAsia" w:ascii="宋体" w:hAnsi="宋体" w:eastAsia="宋体" w:cs="宋体"/>
                <w:kern w:val="0"/>
                <w:sz w:val="24"/>
                <w:lang w:val="en-US"/>
              </w:rPr>
              <w:t>...</w:t>
            </w:r>
          </w:p>
        </w:tc>
        <w:tc>
          <w:tcPr>
            <w:tcW w:w="4501" w:type="dxa"/>
            <w:vAlign w:val="center"/>
          </w:tcPr>
          <w:p w14:paraId="1CB96A80">
            <w:pPr>
              <w:pStyle w:val="8"/>
              <w:spacing w:after="0" w:line="400" w:lineRule="exact"/>
              <w:jc w:val="center"/>
              <w:rPr>
                <w:rFonts w:ascii="宋体" w:hAnsi="宋体" w:eastAsia="宋体" w:cs="宋体"/>
                <w:kern w:val="0"/>
                <w:sz w:val="24"/>
                <w:lang w:val="en-US"/>
              </w:rPr>
            </w:pPr>
          </w:p>
        </w:tc>
        <w:tc>
          <w:tcPr>
            <w:tcW w:w="2681" w:type="dxa"/>
            <w:vAlign w:val="center"/>
          </w:tcPr>
          <w:p w14:paraId="4596EDA8">
            <w:pPr>
              <w:pStyle w:val="8"/>
              <w:spacing w:after="0" w:line="400" w:lineRule="exact"/>
              <w:jc w:val="center"/>
              <w:rPr>
                <w:rFonts w:ascii="宋体" w:hAnsi="宋体" w:eastAsia="宋体" w:cs="宋体"/>
                <w:kern w:val="0"/>
                <w:sz w:val="24"/>
                <w:lang w:val="en-US"/>
              </w:rPr>
            </w:pPr>
          </w:p>
        </w:tc>
      </w:tr>
    </w:tbl>
    <w:p w14:paraId="7B3D1554">
      <w:pPr>
        <w:spacing w:line="360" w:lineRule="auto"/>
        <w:ind w:firstLine="435"/>
        <w:rPr>
          <w:rFonts w:ascii="宋体" w:hAnsi="宋体" w:cs="宋体"/>
          <w:sz w:val="24"/>
        </w:rPr>
      </w:pPr>
    </w:p>
    <w:p w14:paraId="00F482BE">
      <w:pPr>
        <w:spacing w:line="360" w:lineRule="auto"/>
        <w:ind w:firstLine="435"/>
        <w:rPr>
          <w:rFonts w:ascii="宋体" w:hAnsi="宋体" w:cs="宋体"/>
          <w:sz w:val="24"/>
        </w:rPr>
      </w:pPr>
      <w:r>
        <w:rPr>
          <w:rFonts w:hint="eastAsia" w:ascii="宋体" w:hAnsi="宋体" w:cs="宋体"/>
          <w:sz w:val="24"/>
        </w:rPr>
        <w:t>本单位对上述声明的真实性负责。如有虚假，将依法承担相应责任。</w:t>
      </w:r>
    </w:p>
    <w:p w14:paraId="0ADF7F8F">
      <w:pPr>
        <w:spacing w:line="360" w:lineRule="auto"/>
        <w:ind w:firstLine="4800" w:firstLineChars="2000"/>
        <w:rPr>
          <w:rFonts w:ascii="宋体" w:hAnsi="宋体" w:cs="宋体"/>
          <w:sz w:val="24"/>
        </w:rPr>
      </w:pPr>
    </w:p>
    <w:p w14:paraId="300F543A">
      <w:pPr>
        <w:spacing w:line="360" w:lineRule="auto"/>
        <w:ind w:firstLine="4800" w:firstLineChars="2000"/>
        <w:rPr>
          <w:rFonts w:ascii="宋体" w:hAnsi="宋体" w:cs="宋体"/>
          <w:sz w:val="24"/>
          <w:u w:val="single"/>
        </w:rPr>
      </w:pPr>
      <w:r>
        <w:rPr>
          <w:rFonts w:hint="eastAsia" w:ascii="宋体" w:hAnsi="宋体" w:cs="宋体"/>
          <w:sz w:val="24"/>
        </w:rPr>
        <w:t>供应商盖章：</w:t>
      </w:r>
    </w:p>
    <w:p w14:paraId="46057C2B">
      <w:pPr>
        <w:tabs>
          <w:tab w:val="left" w:pos="630"/>
        </w:tabs>
        <w:spacing w:line="360" w:lineRule="auto"/>
        <w:ind w:firstLine="4800" w:firstLineChars="2000"/>
        <w:rPr>
          <w:rFonts w:ascii="宋体" w:hAnsi="宋体" w:cs="宋体"/>
          <w:sz w:val="24"/>
          <w:u w:val="single"/>
        </w:rPr>
      </w:pPr>
      <w:r>
        <w:rPr>
          <w:rFonts w:hint="eastAsia" w:ascii="宋体" w:hAnsi="宋体" w:cs="宋体"/>
          <w:sz w:val="24"/>
        </w:rPr>
        <w:t>日          期：</w:t>
      </w:r>
    </w:p>
    <w:p w14:paraId="56C5CC88">
      <w:pPr>
        <w:tabs>
          <w:tab w:val="left" w:pos="630"/>
        </w:tabs>
        <w:spacing w:line="360" w:lineRule="auto"/>
        <w:ind w:firstLine="4800" w:firstLineChars="2000"/>
        <w:rPr>
          <w:rFonts w:ascii="宋体" w:hAnsi="宋体" w:cs="宋体"/>
          <w:sz w:val="24"/>
          <w:u w:val="single"/>
        </w:rPr>
      </w:pPr>
    </w:p>
    <w:p w14:paraId="62A9F942">
      <w:pPr>
        <w:rPr>
          <w:rFonts w:ascii="宋体" w:hAnsi="宋体" w:cs="宋体"/>
          <w:sz w:val="24"/>
          <w:u w:val="single"/>
        </w:rPr>
      </w:pPr>
    </w:p>
    <w:p w14:paraId="592C6A9A">
      <w:pPr>
        <w:widowControl/>
        <w:jc w:val="left"/>
        <w:rPr>
          <w:rFonts w:ascii="宋体" w:hAnsi="宋体" w:cs="宋体"/>
          <w:sz w:val="24"/>
          <w:u w:val="single"/>
        </w:rPr>
      </w:pPr>
    </w:p>
    <w:p w14:paraId="36D95640">
      <w:pPr>
        <w:rPr>
          <w:rFonts w:ascii="宋体" w:hAnsi="宋体" w:cs="宋体"/>
          <w:b/>
          <w:sz w:val="24"/>
        </w:rPr>
      </w:pPr>
    </w:p>
    <w:p w14:paraId="0254972C">
      <w:pPr>
        <w:rPr>
          <w:rFonts w:ascii="宋体" w:hAnsi="宋体" w:cs="宋体"/>
          <w:b/>
          <w:sz w:val="24"/>
        </w:rPr>
      </w:pPr>
    </w:p>
    <w:p w14:paraId="067B40FE">
      <w:pPr>
        <w:rPr>
          <w:rFonts w:ascii="宋体" w:hAnsi="宋体" w:cs="宋体"/>
          <w:b/>
          <w:sz w:val="24"/>
        </w:rPr>
      </w:pPr>
      <w:r>
        <w:rPr>
          <w:rFonts w:hint="eastAsia" w:ascii="宋体" w:hAnsi="宋体" w:cs="宋体"/>
          <w:b/>
          <w:sz w:val="24"/>
        </w:rPr>
        <w:br w:type="page"/>
      </w:r>
    </w:p>
    <w:p w14:paraId="26861F0F">
      <w:pPr>
        <w:spacing w:line="360" w:lineRule="auto"/>
        <w:jc w:val="center"/>
        <w:outlineLvl w:val="1"/>
        <w:rPr>
          <w:rFonts w:ascii="宋体" w:hAnsi="宋体" w:cs="宋体"/>
          <w:b/>
          <w:sz w:val="24"/>
        </w:rPr>
      </w:pPr>
      <w:bookmarkStart w:id="119" w:name="_Toc24583"/>
      <w:r>
        <w:rPr>
          <w:rFonts w:hint="eastAsia" w:ascii="宋体" w:hAnsi="宋体" w:cs="宋体"/>
          <w:b/>
          <w:sz w:val="24"/>
        </w:rPr>
        <w:t>五、诚信履约承诺函</w:t>
      </w:r>
    </w:p>
    <w:p w14:paraId="718A170A">
      <w:pPr>
        <w:spacing w:line="360" w:lineRule="auto"/>
        <w:rPr>
          <w:rFonts w:ascii="宋体" w:hAnsi="宋体" w:cs="宋体"/>
          <w:b/>
          <w:bCs/>
          <w:sz w:val="24"/>
        </w:rPr>
      </w:pPr>
    </w:p>
    <w:p w14:paraId="4035EEAB">
      <w:pPr>
        <w:spacing w:line="360" w:lineRule="auto"/>
        <w:rPr>
          <w:rFonts w:ascii="宋体" w:hAnsi="宋体" w:cs="宋体"/>
          <w:b/>
          <w:bCs/>
          <w:sz w:val="24"/>
          <w:u w:val="single"/>
        </w:rPr>
      </w:pPr>
      <w:r>
        <w:rPr>
          <w:rFonts w:hint="eastAsia" w:ascii="宋体" w:hAnsi="宋体" w:cs="宋体"/>
          <w:b/>
          <w:bCs/>
          <w:sz w:val="24"/>
        </w:rPr>
        <w:t>致：</w:t>
      </w:r>
      <w:r>
        <w:rPr>
          <w:rFonts w:hint="eastAsia" w:ascii="宋体" w:hAnsi="宋体" w:cs="宋体"/>
          <w:b/>
          <w:bCs/>
          <w:sz w:val="24"/>
          <w:u w:val="single"/>
        </w:rPr>
        <w:t>发包人名称</w:t>
      </w:r>
    </w:p>
    <w:p w14:paraId="35E9A7EE">
      <w:pPr>
        <w:spacing w:line="360" w:lineRule="auto"/>
        <w:ind w:firstLine="480" w:firstLineChars="200"/>
        <w:rPr>
          <w:rFonts w:ascii="宋体" w:hAnsi="宋体" w:cs="宋体"/>
          <w:bCs/>
          <w:sz w:val="24"/>
        </w:rPr>
      </w:pPr>
      <w:r>
        <w:rPr>
          <w:rFonts w:hint="eastAsia" w:ascii="宋体" w:hAnsi="宋体" w:cs="宋体"/>
          <w:bCs/>
          <w:sz w:val="24"/>
        </w:rPr>
        <w:t>如我单位被确定为本项目成交供应商，我单位承诺在合同签订及履约过程中将严格执行《中华人民共和国民法典》及本项目发包文件中关于合同签订及履约的相关规定，不出现以下情形：</w:t>
      </w:r>
    </w:p>
    <w:p w14:paraId="6B0B0382">
      <w:pPr>
        <w:spacing w:line="360" w:lineRule="auto"/>
        <w:ind w:firstLine="480" w:firstLineChars="200"/>
        <w:rPr>
          <w:rFonts w:ascii="宋体" w:hAnsi="宋体" w:cs="宋体"/>
          <w:bCs/>
          <w:sz w:val="24"/>
        </w:rPr>
      </w:pPr>
      <w:r>
        <w:rPr>
          <w:rFonts w:hint="eastAsia" w:ascii="宋体" w:hAnsi="宋体" w:cs="宋体"/>
          <w:bCs/>
          <w:sz w:val="24"/>
        </w:rPr>
        <w:t>（1）中标或者成交后无正当理由拒不与发包人签订采购合同；</w:t>
      </w:r>
    </w:p>
    <w:p w14:paraId="2C371AD3">
      <w:pPr>
        <w:spacing w:line="360" w:lineRule="auto"/>
        <w:ind w:firstLine="480" w:firstLineChars="200"/>
        <w:rPr>
          <w:rFonts w:ascii="宋体" w:hAnsi="宋体" w:cs="宋体"/>
          <w:bCs/>
          <w:sz w:val="24"/>
        </w:rPr>
      </w:pPr>
      <w:r>
        <w:rPr>
          <w:rFonts w:hint="eastAsia" w:ascii="宋体" w:hAnsi="宋体" w:cs="宋体"/>
          <w:bCs/>
          <w:sz w:val="24"/>
        </w:rPr>
        <w:t>（2）未按照发包文件确定的事项签订采购合同；</w:t>
      </w:r>
    </w:p>
    <w:p w14:paraId="7E3119D7">
      <w:pPr>
        <w:spacing w:line="360" w:lineRule="auto"/>
        <w:ind w:firstLine="480" w:firstLineChars="200"/>
        <w:rPr>
          <w:rFonts w:ascii="宋体" w:hAnsi="宋体" w:cs="宋体"/>
          <w:bCs/>
          <w:sz w:val="24"/>
        </w:rPr>
      </w:pPr>
      <w:r>
        <w:rPr>
          <w:rFonts w:hint="eastAsia" w:ascii="宋体" w:hAnsi="宋体" w:cs="宋体"/>
          <w:bCs/>
          <w:sz w:val="24"/>
        </w:rPr>
        <w:t>（3）将采购合同转包；</w:t>
      </w:r>
    </w:p>
    <w:p w14:paraId="108A3C9C">
      <w:pPr>
        <w:spacing w:line="360" w:lineRule="auto"/>
        <w:ind w:firstLine="480" w:firstLineChars="200"/>
        <w:rPr>
          <w:rFonts w:ascii="宋体" w:hAnsi="宋体" w:cs="宋体"/>
          <w:bCs/>
          <w:sz w:val="24"/>
        </w:rPr>
      </w:pPr>
      <w:r>
        <w:rPr>
          <w:rFonts w:hint="eastAsia" w:ascii="宋体" w:hAnsi="宋体" w:cs="宋体"/>
          <w:bCs/>
          <w:sz w:val="24"/>
        </w:rPr>
        <w:t>（4）提供假冒伪劣产品；</w:t>
      </w:r>
    </w:p>
    <w:p w14:paraId="6CFF1653">
      <w:pPr>
        <w:spacing w:line="360" w:lineRule="auto"/>
        <w:ind w:firstLine="480" w:firstLineChars="200"/>
        <w:rPr>
          <w:rFonts w:ascii="宋体" w:hAnsi="宋体" w:cs="宋体"/>
          <w:bCs/>
          <w:sz w:val="24"/>
        </w:rPr>
      </w:pPr>
      <w:r>
        <w:rPr>
          <w:rFonts w:hint="eastAsia" w:ascii="宋体" w:hAnsi="宋体" w:cs="宋体"/>
          <w:bCs/>
          <w:sz w:val="24"/>
        </w:rPr>
        <w:t>（5）擅自变更、中止或者终止采购合同。</w:t>
      </w:r>
    </w:p>
    <w:p w14:paraId="6F213C85">
      <w:pPr>
        <w:spacing w:line="360" w:lineRule="auto"/>
        <w:ind w:firstLine="480" w:firstLineChars="200"/>
        <w:rPr>
          <w:rFonts w:ascii="宋体" w:hAnsi="宋体" w:cs="宋体"/>
          <w:bCs/>
          <w:sz w:val="24"/>
        </w:rPr>
      </w:pPr>
      <w:r>
        <w:rPr>
          <w:rFonts w:hint="eastAsia" w:ascii="宋体" w:hAnsi="宋体" w:cs="宋体"/>
          <w:bCs/>
          <w:sz w:val="24"/>
        </w:rPr>
        <w:t>本单位知悉如出现上述情形，将会被依法追究法律责任，可能的处理结果有：处以采购金额千分之五以上千分之十以下的罚款，列入不良行为记录名单，在一至三年内禁止参加采购贵单位采购活动，有违法所得的，并处没收违法所得，情节严重的，报由工商行政管理机关吊销营业执照；构成犯罪的，依法追究刑事责任。</w:t>
      </w:r>
    </w:p>
    <w:p w14:paraId="6ABAC320">
      <w:pPr>
        <w:spacing w:line="360" w:lineRule="auto"/>
        <w:rPr>
          <w:rFonts w:ascii="宋体" w:hAnsi="宋体" w:cs="宋体"/>
          <w:bCs/>
          <w:sz w:val="24"/>
        </w:rPr>
      </w:pPr>
    </w:p>
    <w:p w14:paraId="4D768664">
      <w:pPr>
        <w:spacing w:line="360" w:lineRule="auto"/>
        <w:rPr>
          <w:rFonts w:ascii="宋体" w:hAnsi="宋体" w:cs="宋体"/>
          <w:bCs/>
          <w:sz w:val="24"/>
        </w:rPr>
      </w:pPr>
    </w:p>
    <w:p w14:paraId="372B2FE0">
      <w:pPr>
        <w:spacing w:line="360" w:lineRule="auto"/>
        <w:ind w:firstLine="4320" w:firstLineChars="1800"/>
        <w:rPr>
          <w:rFonts w:ascii="宋体" w:hAnsi="宋体" w:cs="宋体"/>
          <w:bCs/>
          <w:sz w:val="24"/>
          <w:u w:val="single"/>
        </w:rPr>
      </w:pPr>
      <w:r>
        <w:rPr>
          <w:rFonts w:hint="eastAsia" w:ascii="宋体" w:hAnsi="宋体" w:cs="宋体"/>
          <w:bCs/>
          <w:sz w:val="24"/>
        </w:rPr>
        <w:t>供应商盖章：</w:t>
      </w:r>
    </w:p>
    <w:p w14:paraId="076CA4EF">
      <w:pPr>
        <w:spacing w:line="360" w:lineRule="auto"/>
        <w:ind w:firstLine="4320" w:firstLineChars="1800"/>
        <w:rPr>
          <w:rFonts w:ascii="宋体" w:hAnsi="宋体" w:cs="宋体"/>
          <w:bCs/>
          <w:sz w:val="24"/>
        </w:rPr>
      </w:pPr>
      <w:r>
        <w:rPr>
          <w:rFonts w:hint="eastAsia" w:ascii="宋体" w:hAnsi="宋体" w:cs="宋体"/>
          <w:bCs/>
          <w:sz w:val="24"/>
        </w:rPr>
        <w:t>日          期：</w:t>
      </w:r>
    </w:p>
    <w:p w14:paraId="13E44411">
      <w:pPr>
        <w:rPr>
          <w:rFonts w:ascii="宋体" w:hAnsi="宋体" w:cs="宋体"/>
          <w:b/>
          <w:sz w:val="24"/>
        </w:rPr>
      </w:pPr>
      <w:r>
        <w:rPr>
          <w:rFonts w:hint="eastAsia" w:ascii="宋体" w:hAnsi="宋体" w:cs="宋体"/>
          <w:b/>
          <w:sz w:val="24"/>
        </w:rPr>
        <w:br w:type="page"/>
      </w:r>
    </w:p>
    <w:p w14:paraId="58175DA1">
      <w:pPr>
        <w:jc w:val="center"/>
        <w:rPr>
          <w:rFonts w:ascii="宋体" w:hAnsi="宋体" w:cs="宋体"/>
          <w:b/>
          <w:sz w:val="24"/>
        </w:rPr>
      </w:pPr>
      <w:r>
        <w:rPr>
          <w:rFonts w:hint="eastAsia" w:ascii="宋体" w:hAnsi="宋体" w:cs="宋体"/>
          <w:b/>
          <w:sz w:val="24"/>
        </w:rPr>
        <w:t>六、无重大违法记录声明函、无不良信用记录承诺函</w:t>
      </w:r>
    </w:p>
    <w:p w14:paraId="0E91E2B7">
      <w:pPr>
        <w:pStyle w:val="22"/>
        <w:spacing w:line="400" w:lineRule="atLeast"/>
        <w:ind w:firstLine="2891" w:firstLineChars="1200"/>
        <w:rPr>
          <w:rFonts w:ascii="宋体" w:hAnsi="宋体" w:eastAsia="宋体" w:cs="宋体"/>
          <w:b/>
          <w:sz w:val="24"/>
        </w:rPr>
      </w:pPr>
    </w:p>
    <w:p w14:paraId="20540B12">
      <w:pPr>
        <w:pStyle w:val="22"/>
        <w:spacing w:line="520" w:lineRule="exact"/>
        <w:ind w:firstLine="0" w:firstLineChars="0"/>
        <w:jc w:val="center"/>
        <w:rPr>
          <w:rFonts w:ascii="宋体" w:hAnsi="宋体" w:eastAsia="宋体" w:cs="宋体"/>
          <w:b/>
          <w:sz w:val="24"/>
        </w:rPr>
      </w:pPr>
      <w:r>
        <w:rPr>
          <w:rFonts w:hint="eastAsia" w:ascii="宋体" w:hAnsi="宋体" w:eastAsia="宋体" w:cs="宋体"/>
          <w:b/>
          <w:sz w:val="24"/>
        </w:rPr>
        <w:t>无重大违法记录声明函</w:t>
      </w:r>
    </w:p>
    <w:p w14:paraId="0FF5F6EF">
      <w:pPr>
        <w:spacing w:after="120" w:line="520" w:lineRule="exact"/>
        <w:ind w:firstLine="480" w:firstLineChars="200"/>
        <w:rPr>
          <w:rFonts w:ascii="宋体" w:hAnsi="宋体" w:cs="宋体"/>
          <w:sz w:val="24"/>
          <w:szCs w:val="24"/>
        </w:rPr>
      </w:pPr>
      <w:r>
        <w:rPr>
          <w:rFonts w:hint="eastAsia" w:ascii="宋体" w:hAnsi="宋体" w:cs="宋体"/>
          <w:sz w:val="24"/>
          <w:szCs w:val="24"/>
        </w:rPr>
        <w:t>本公司郑重声明，参加本次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051B027E">
      <w:pPr>
        <w:spacing w:line="520" w:lineRule="exact"/>
        <w:ind w:firstLine="435"/>
        <w:rPr>
          <w:rFonts w:ascii="宋体" w:hAnsi="宋体" w:cs="宋体"/>
          <w:sz w:val="24"/>
          <w:szCs w:val="24"/>
        </w:rPr>
      </w:pPr>
      <w:r>
        <w:rPr>
          <w:rFonts w:hint="eastAsia" w:ascii="宋体" w:hAnsi="宋体" w:cs="宋体"/>
          <w:sz w:val="24"/>
          <w:szCs w:val="24"/>
        </w:rPr>
        <w:t>本公司对上述声明的真实性负责。如有虚假，将依法承担相应责任。</w:t>
      </w:r>
    </w:p>
    <w:p w14:paraId="7A476DBE">
      <w:pPr>
        <w:spacing w:line="520" w:lineRule="exact"/>
        <w:ind w:firstLine="435"/>
        <w:rPr>
          <w:rFonts w:ascii="宋体" w:hAnsi="宋体" w:cs="宋体"/>
          <w:sz w:val="24"/>
          <w:szCs w:val="24"/>
        </w:rPr>
      </w:pPr>
    </w:p>
    <w:p w14:paraId="68642FAD">
      <w:pPr>
        <w:spacing w:line="520" w:lineRule="exact"/>
        <w:ind w:firstLine="5428" w:firstLineChars="2262"/>
        <w:rPr>
          <w:rFonts w:ascii="宋体" w:hAnsi="宋体" w:cs="宋体"/>
          <w:bCs/>
          <w:sz w:val="24"/>
          <w:szCs w:val="24"/>
          <w:u w:val="single"/>
        </w:rPr>
      </w:pPr>
      <w:r>
        <w:rPr>
          <w:rFonts w:hint="eastAsia" w:ascii="宋体" w:hAnsi="宋体" w:cs="宋体"/>
          <w:bCs/>
          <w:sz w:val="24"/>
          <w:szCs w:val="24"/>
        </w:rPr>
        <w:t>供应商盖章：</w:t>
      </w:r>
    </w:p>
    <w:p w14:paraId="0CF0366B">
      <w:pPr>
        <w:tabs>
          <w:tab w:val="left" w:pos="630"/>
        </w:tabs>
        <w:spacing w:line="520" w:lineRule="exact"/>
        <w:ind w:firstLine="5428" w:firstLineChars="2262"/>
        <w:rPr>
          <w:rFonts w:ascii="宋体" w:hAnsi="宋体" w:cs="宋体"/>
          <w:bCs/>
          <w:sz w:val="24"/>
          <w:szCs w:val="24"/>
          <w:lang w:val="zh-CN"/>
        </w:rPr>
      </w:pPr>
      <w:r>
        <w:rPr>
          <w:rFonts w:hint="eastAsia" w:ascii="宋体" w:hAnsi="宋体" w:cs="宋体"/>
          <w:bCs/>
          <w:sz w:val="24"/>
          <w:szCs w:val="24"/>
        </w:rPr>
        <w:t>日期：</w:t>
      </w:r>
    </w:p>
    <w:p w14:paraId="7FFF6698">
      <w:pPr>
        <w:spacing w:after="120" w:line="520" w:lineRule="exact"/>
        <w:ind w:firstLine="210"/>
        <w:rPr>
          <w:rFonts w:ascii="宋体" w:hAnsi="宋体" w:cs="宋体"/>
          <w:sz w:val="24"/>
        </w:rPr>
      </w:pPr>
    </w:p>
    <w:p w14:paraId="444AF8EE">
      <w:pPr>
        <w:spacing w:after="120" w:line="520" w:lineRule="exact"/>
        <w:ind w:firstLine="210"/>
        <w:rPr>
          <w:rFonts w:ascii="宋体" w:hAnsi="宋体" w:cs="宋体"/>
          <w:sz w:val="24"/>
        </w:rPr>
      </w:pPr>
    </w:p>
    <w:p w14:paraId="6802DE22">
      <w:pPr>
        <w:tabs>
          <w:tab w:val="left" w:pos="630"/>
        </w:tabs>
        <w:spacing w:afterLines="50" w:line="520" w:lineRule="exact"/>
        <w:jc w:val="center"/>
        <w:rPr>
          <w:rFonts w:ascii="宋体" w:hAnsi="宋体" w:cs="宋体"/>
          <w:sz w:val="24"/>
          <w:szCs w:val="24"/>
        </w:rPr>
      </w:pPr>
      <w:r>
        <w:rPr>
          <w:rFonts w:hint="eastAsia" w:ascii="宋体" w:hAnsi="宋体" w:cs="宋体"/>
          <w:b/>
          <w:sz w:val="24"/>
          <w:szCs w:val="24"/>
          <w:lang w:val="zh-CN"/>
        </w:rPr>
        <w:t>无不良信用记录承诺函</w:t>
      </w:r>
    </w:p>
    <w:p w14:paraId="76AC095F">
      <w:pPr>
        <w:spacing w:line="520" w:lineRule="exact"/>
        <w:ind w:firstLine="435"/>
        <w:rPr>
          <w:rFonts w:ascii="宋体" w:hAnsi="宋体" w:cs="宋体"/>
          <w:sz w:val="24"/>
          <w:szCs w:val="24"/>
        </w:rPr>
      </w:pPr>
      <w:r>
        <w:rPr>
          <w:rFonts w:hint="eastAsia" w:ascii="宋体" w:hAnsi="宋体" w:cs="宋体"/>
          <w:sz w:val="24"/>
          <w:szCs w:val="24"/>
        </w:rPr>
        <w:t>本公司郑重承诺，我公司无以下不良信用记录情形：</w:t>
      </w:r>
    </w:p>
    <w:p w14:paraId="476AEB9D">
      <w:pPr>
        <w:spacing w:line="520" w:lineRule="exact"/>
        <w:ind w:firstLine="435"/>
        <w:rPr>
          <w:rFonts w:ascii="宋体" w:hAnsi="宋体" w:cs="宋体"/>
          <w:sz w:val="24"/>
          <w:szCs w:val="24"/>
        </w:rPr>
      </w:pPr>
      <w:r>
        <w:rPr>
          <w:rFonts w:hint="eastAsia" w:ascii="宋体" w:hAnsi="宋体" w:cs="宋体"/>
          <w:sz w:val="24"/>
          <w:szCs w:val="24"/>
        </w:rPr>
        <w:t>1、公司被人民法院列入失信被执行人；</w:t>
      </w:r>
    </w:p>
    <w:p w14:paraId="2F921957">
      <w:pPr>
        <w:spacing w:line="520" w:lineRule="exact"/>
        <w:ind w:firstLine="435"/>
        <w:rPr>
          <w:rFonts w:ascii="宋体" w:hAnsi="宋体" w:cs="宋体"/>
          <w:sz w:val="24"/>
          <w:szCs w:val="24"/>
        </w:rPr>
      </w:pPr>
      <w:r>
        <w:rPr>
          <w:rFonts w:hint="eastAsia" w:ascii="宋体" w:hAnsi="宋体" w:cs="宋体"/>
          <w:sz w:val="24"/>
          <w:szCs w:val="24"/>
        </w:rPr>
        <w:t>2、公司被市场监督管理部门列入严重违法失信企业名录；</w:t>
      </w:r>
    </w:p>
    <w:p w14:paraId="5F3FD77E">
      <w:pPr>
        <w:spacing w:line="520" w:lineRule="exact"/>
        <w:ind w:firstLine="435"/>
        <w:rPr>
          <w:rFonts w:ascii="宋体" w:hAnsi="宋体" w:cs="宋体"/>
          <w:sz w:val="24"/>
          <w:szCs w:val="24"/>
        </w:rPr>
      </w:pPr>
      <w:r>
        <w:rPr>
          <w:rFonts w:hint="eastAsia" w:ascii="宋体" w:hAnsi="宋体" w:cs="宋体"/>
          <w:sz w:val="24"/>
          <w:szCs w:val="24"/>
        </w:rPr>
        <w:t>3、公司被税务部门列入重大税收违法案件当事人名单的；</w:t>
      </w:r>
    </w:p>
    <w:p w14:paraId="1607FF0C">
      <w:pPr>
        <w:spacing w:line="520" w:lineRule="exact"/>
        <w:ind w:firstLine="435"/>
        <w:rPr>
          <w:rFonts w:ascii="宋体" w:hAnsi="宋体" w:cs="宋体"/>
          <w:sz w:val="24"/>
          <w:szCs w:val="24"/>
        </w:rPr>
      </w:pPr>
      <w:r>
        <w:rPr>
          <w:rFonts w:hint="eastAsia" w:ascii="宋体" w:hAnsi="宋体" w:cs="宋体"/>
          <w:sz w:val="24"/>
          <w:szCs w:val="24"/>
        </w:rPr>
        <w:t>4、公司被采购监管部门列入政府采购严重违法失信行为记录名单。</w:t>
      </w:r>
    </w:p>
    <w:p w14:paraId="16BF0409">
      <w:pPr>
        <w:tabs>
          <w:tab w:val="left" w:pos="630"/>
        </w:tabs>
        <w:spacing w:line="520" w:lineRule="exact"/>
        <w:ind w:firstLine="630"/>
        <w:rPr>
          <w:rFonts w:ascii="宋体" w:hAnsi="宋体" w:cs="宋体"/>
          <w:sz w:val="24"/>
          <w:szCs w:val="24"/>
        </w:rPr>
      </w:pPr>
      <w:r>
        <w:rPr>
          <w:rFonts w:hint="eastAsia" w:ascii="宋体" w:hAnsi="宋体" w:cs="宋体"/>
          <w:sz w:val="24"/>
          <w:szCs w:val="24"/>
        </w:rPr>
        <w:t>本公司对上述声明的真实性负责。如有虚假，将依法承担相应责任。</w:t>
      </w:r>
    </w:p>
    <w:p w14:paraId="13B77310">
      <w:pPr>
        <w:pStyle w:val="8"/>
        <w:spacing w:line="520" w:lineRule="exact"/>
        <w:rPr>
          <w:rFonts w:ascii="宋体" w:hAnsi="宋体" w:eastAsia="宋体" w:cs="宋体"/>
        </w:rPr>
      </w:pPr>
    </w:p>
    <w:p w14:paraId="10A61E23">
      <w:pPr>
        <w:spacing w:line="520" w:lineRule="exact"/>
        <w:ind w:firstLine="5428" w:firstLineChars="2262"/>
        <w:rPr>
          <w:rFonts w:ascii="宋体" w:hAnsi="宋体" w:cs="宋体"/>
          <w:bCs/>
          <w:sz w:val="24"/>
          <w:szCs w:val="24"/>
          <w:u w:val="single"/>
        </w:rPr>
      </w:pPr>
      <w:r>
        <w:rPr>
          <w:rFonts w:hint="eastAsia" w:ascii="宋体" w:hAnsi="宋体" w:cs="宋体"/>
          <w:bCs/>
          <w:sz w:val="24"/>
          <w:szCs w:val="24"/>
        </w:rPr>
        <w:t>供应商盖章：</w:t>
      </w:r>
    </w:p>
    <w:p w14:paraId="5CAB4B6E">
      <w:pPr>
        <w:tabs>
          <w:tab w:val="left" w:pos="630"/>
        </w:tabs>
        <w:spacing w:line="520" w:lineRule="exact"/>
        <w:ind w:firstLine="5428" w:firstLineChars="2262"/>
        <w:rPr>
          <w:rFonts w:ascii="宋体" w:hAnsi="宋体" w:cs="宋体"/>
          <w:bCs/>
          <w:sz w:val="24"/>
          <w:szCs w:val="24"/>
        </w:rPr>
      </w:pPr>
      <w:r>
        <w:rPr>
          <w:rFonts w:hint="eastAsia" w:ascii="宋体" w:hAnsi="宋体" w:cs="宋体"/>
          <w:bCs/>
          <w:sz w:val="24"/>
          <w:szCs w:val="24"/>
        </w:rPr>
        <w:t>日    期：</w:t>
      </w:r>
    </w:p>
    <w:p w14:paraId="28968833">
      <w:pPr>
        <w:rPr>
          <w:rFonts w:ascii="宋体" w:hAnsi="宋体" w:cs="宋体"/>
          <w:bCs/>
          <w:sz w:val="24"/>
          <w:szCs w:val="24"/>
        </w:rPr>
      </w:pPr>
      <w:r>
        <w:rPr>
          <w:rFonts w:hint="eastAsia" w:ascii="宋体" w:hAnsi="宋体" w:cs="宋体"/>
          <w:bCs/>
          <w:sz w:val="24"/>
          <w:szCs w:val="24"/>
        </w:rPr>
        <w:br w:type="page"/>
      </w:r>
    </w:p>
    <w:bookmarkEnd w:id="119"/>
    <w:p w14:paraId="5328F4AD">
      <w:pPr>
        <w:spacing w:line="360" w:lineRule="auto"/>
        <w:jc w:val="center"/>
        <w:outlineLvl w:val="1"/>
        <w:rPr>
          <w:rFonts w:ascii="宋体" w:hAnsi="宋体" w:cs="宋体"/>
          <w:b/>
          <w:sz w:val="24"/>
        </w:rPr>
      </w:pPr>
      <w:bookmarkStart w:id="120" w:name="_Toc23068"/>
      <w:r>
        <w:rPr>
          <w:rFonts w:hint="eastAsia" w:ascii="宋体" w:hAnsi="宋体" w:cs="宋体"/>
          <w:b/>
          <w:sz w:val="24"/>
        </w:rPr>
        <w:t>七、</w:t>
      </w:r>
      <w:bookmarkEnd w:id="120"/>
      <w:r>
        <w:rPr>
          <w:rFonts w:hint="eastAsia" w:ascii="宋体" w:hAnsi="宋体" w:cs="宋体"/>
          <w:b/>
          <w:sz w:val="24"/>
        </w:rPr>
        <w:t>联合协议</w:t>
      </w:r>
    </w:p>
    <w:p w14:paraId="7A2FAE91">
      <w:pPr>
        <w:pStyle w:val="21"/>
        <w:spacing w:line="360" w:lineRule="auto"/>
        <w:rPr>
          <w:rFonts w:ascii="宋体" w:hAnsi="宋体" w:eastAsia="宋体" w:cs="宋体"/>
          <w:sz w:val="24"/>
        </w:rPr>
      </w:pPr>
      <w:r>
        <w:rPr>
          <w:rFonts w:hint="eastAsia" w:ascii="宋体" w:hAnsi="宋体" w:eastAsia="宋体" w:cs="宋体"/>
          <w:b w:val="0"/>
          <w:iCs/>
          <w:sz w:val="24"/>
        </w:rPr>
        <w:t>（不允许联合体或未组成联合体的，不需此件）</w:t>
      </w:r>
    </w:p>
    <w:p w14:paraId="4EBEEF62">
      <w:pPr>
        <w:spacing w:line="360" w:lineRule="auto"/>
        <w:ind w:firstLine="435"/>
        <w:rPr>
          <w:rFonts w:ascii="宋体" w:hAnsi="宋体" w:cs="宋体"/>
          <w:sz w:val="24"/>
          <w:u w:val="single"/>
        </w:rPr>
      </w:pPr>
      <w:r>
        <w:rPr>
          <w:rFonts w:hint="eastAsia" w:ascii="宋体" w:hAnsi="宋体" w:cs="宋体"/>
          <w:sz w:val="24"/>
        </w:rPr>
        <w:t>联合体成员一名称：；</w:t>
      </w:r>
    </w:p>
    <w:p w14:paraId="59B18E02">
      <w:pPr>
        <w:spacing w:line="360" w:lineRule="auto"/>
        <w:ind w:firstLine="435"/>
        <w:rPr>
          <w:rFonts w:ascii="宋体" w:hAnsi="宋体" w:cs="宋体"/>
          <w:sz w:val="24"/>
          <w:u w:val="single"/>
        </w:rPr>
      </w:pPr>
      <w:r>
        <w:rPr>
          <w:rFonts w:hint="eastAsia" w:ascii="宋体" w:hAnsi="宋体" w:cs="宋体"/>
          <w:sz w:val="24"/>
        </w:rPr>
        <w:t>联合体成员二名称：；</w:t>
      </w:r>
    </w:p>
    <w:p w14:paraId="362FB569">
      <w:pPr>
        <w:spacing w:line="360" w:lineRule="auto"/>
        <w:ind w:firstLine="435"/>
        <w:rPr>
          <w:rFonts w:ascii="宋体" w:hAnsi="宋体" w:cs="宋体"/>
          <w:sz w:val="24"/>
          <w:u w:val="single"/>
        </w:rPr>
      </w:pPr>
      <w:r>
        <w:rPr>
          <w:rFonts w:hint="eastAsia" w:ascii="宋体" w:hAnsi="宋体" w:cs="宋体"/>
          <w:sz w:val="24"/>
        </w:rPr>
        <w:t>……</w:t>
      </w:r>
    </w:p>
    <w:p w14:paraId="3AB542D7">
      <w:pPr>
        <w:spacing w:line="360" w:lineRule="auto"/>
        <w:ind w:firstLine="435"/>
        <w:rPr>
          <w:rFonts w:ascii="宋体" w:hAnsi="宋体" w:cs="宋体"/>
          <w:sz w:val="24"/>
        </w:rPr>
      </w:pPr>
      <w:r>
        <w:rPr>
          <w:rFonts w:hint="eastAsia" w:ascii="宋体" w:hAnsi="宋体" w:cs="宋体"/>
          <w:sz w:val="24"/>
        </w:rPr>
        <w:t>上述各成员单位经过友好协商，自愿组成联合体，共同参加本项目的评审，现就联合体参加发包事宜订立如下协议：</w:t>
      </w:r>
    </w:p>
    <w:p w14:paraId="5972925F">
      <w:pPr>
        <w:spacing w:line="360" w:lineRule="auto"/>
        <w:ind w:firstLine="435"/>
        <w:rPr>
          <w:rFonts w:ascii="宋体" w:hAnsi="宋体" w:cs="宋体"/>
          <w:sz w:val="24"/>
        </w:rPr>
      </w:pPr>
      <w:r>
        <w:rPr>
          <w:rFonts w:hint="eastAsia" w:ascii="宋体" w:hAnsi="宋体" w:cs="宋体"/>
          <w:sz w:val="24"/>
        </w:rPr>
        <w:t>1.（成员单位名称）为联合体牵头人。</w:t>
      </w:r>
    </w:p>
    <w:p w14:paraId="56E22756">
      <w:pPr>
        <w:spacing w:line="360" w:lineRule="auto"/>
        <w:ind w:firstLine="435"/>
        <w:rPr>
          <w:rFonts w:ascii="宋体" w:hAnsi="宋体" w:cs="宋体"/>
          <w:sz w:val="24"/>
        </w:rPr>
      </w:pPr>
      <w:r>
        <w:rPr>
          <w:rFonts w:hint="eastAsia" w:ascii="宋体" w:hAnsi="宋体" w:cs="宋体"/>
          <w:sz w:val="24"/>
        </w:rPr>
        <w:t>2.在本项目评审阶段，联合体牵头人负责发包项目的一切组织、协调工作，并授权代理人以联合体的名义参加项目的评审，代理人在发包、合同签订过程中所签署的一切文件和处理与本次发包有关的一切事务，联合体各方均予以承认并承担法律责任。联合体成交后，联合体各方共同与发包人签订合同，就本项目对发包人承担连带责任。</w:t>
      </w:r>
    </w:p>
    <w:p w14:paraId="7F16C5E0">
      <w:pPr>
        <w:spacing w:line="360" w:lineRule="auto"/>
        <w:ind w:firstLine="435"/>
        <w:rPr>
          <w:rFonts w:ascii="宋体" w:hAnsi="宋体" w:cs="宋体"/>
          <w:sz w:val="24"/>
        </w:rPr>
      </w:pPr>
      <w:r>
        <w:rPr>
          <w:rFonts w:hint="eastAsia" w:ascii="宋体" w:hAnsi="宋体" w:cs="宋体"/>
          <w:sz w:val="24"/>
        </w:rPr>
        <w:t>3.联合体各成员单位内部的职责分工及各方负责内容的合同金额占总合同金额的百分比如下：</w:t>
      </w:r>
    </w:p>
    <w:p w14:paraId="421E94D9">
      <w:pPr>
        <w:spacing w:line="360" w:lineRule="auto"/>
        <w:ind w:firstLine="435"/>
        <w:rPr>
          <w:rFonts w:ascii="宋体" w:hAnsi="宋体" w:cs="宋体"/>
          <w:sz w:val="24"/>
          <w:u w:val="single"/>
        </w:rPr>
      </w:pPr>
      <w:r>
        <w:rPr>
          <w:rFonts w:hint="eastAsia" w:ascii="宋体" w:hAnsi="宋体" w:cs="宋体"/>
          <w:sz w:val="24"/>
        </w:rPr>
        <w:t>联合体成员一名称：，承担工作，负责内容的合同金额占总合同金额的百分比：%；</w:t>
      </w:r>
    </w:p>
    <w:p w14:paraId="451FBF4E">
      <w:pPr>
        <w:spacing w:line="360" w:lineRule="auto"/>
        <w:ind w:firstLine="435"/>
        <w:rPr>
          <w:rFonts w:ascii="宋体" w:hAnsi="宋体" w:cs="宋体"/>
          <w:sz w:val="24"/>
          <w:u w:val="single"/>
        </w:rPr>
      </w:pPr>
      <w:r>
        <w:rPr>
          <w:rFonts w:hint="eastAsia" w:ascii="宋体" w:hAnsi="宋体" w:cs="宋体"/>
          <w:sz w:val="24"/>
        </w:rPr>
        <w:t>联合体成员二名称：，承担工作，负责内容的合同金额占总合同金额的百分比：%；</w:t>
      </w:r>
    </w:p>
    <w:p w14:paraId="4E4FA971">
      <w:pPr>
        <w:spacing w:line="360" w:lineRule="auto"/>
        <w:ind w:firstLine="435"/>
        <w:rPr>
          <w:rFonts w:ascii="宋体" w:hAnsi="宋体" w:cs="宋体"/>
          <w:sz w:val="24"/>
          <w:u w:val="single"/>
        </w:rPr>
      </w:pPr>
      <w:r>
        <w:rPr>
          <w:rFonts w:hint="eastAsia" w:ascii="宋体" w:hAnsi="宋体" w:cs="宋体"/>
          <w:sz w:val="24"/>
        </w:rPr>
        <w:t>…………</w:t>
      </w:r>
    </w:p>
    <w:p w14:paraId="377535DB">
      <w:pPr>
        <w:spacing w:line="360" w:lineRule="auto"/>
        <w:ind w:firstLine="435"/>
        <w:rPr>
          <w:rFonts w:ascii="宋体" w:hAnsi="宋体" w:cs="宋体"/>
          <w:sz w:val="24"/>
        </w:rPr>
      </w:pPr>
      <w:r>
        <w:rPr>
          <w:rFonts w:hint="eastAsia" w:ascii="宋体" w:hAnsi="宋体" w:cs="宋体"/>
          <w:sz w:val="24"/>
        </w:rPr>
        <w:t>4．评审工作和联合体在成交后项目实施过程中的有关费用按各自承担的工作量分摊。</w:t>
      </w:r>
    </w:p>
    <w:p w14:paraId="397AA4FE">
      <w:pPr>
        <w:spacing w:line="360" w:lineRule="auto"/>
        <w:ind w:firstLine="435"/>
        <w:rPr>
          <w:rFonts w:ascii="宋体" w:hAnsi="宋体" w:cs="宋体"/>
          <w:sz w:val="24"/>
        </w:rPr>
      </w:pPr>
      <w:r>
        <w:rPr>
          <w:rFonts w:hint="eastAsia" w:ascii="宋体" w:hAnsi="宋体" w:cs="宋体"/>
          <w:sz w:val="24"/>
        </w:rPr>
        <w:t>5．联合体成交后，本联合协议是合同的附件，对联合体各成员单位有合同约束力。</w:t>
      </w:r>
    </w:p>
    <w:p w14:paraId="4E16AC39">
      <w:pPr>
        <w:spacing w:line="360" w:lineRule="auto"/>
        <w:ind w:firstLine="435"/>
        <w:rPr>
          <w:rFonts w:ascii="宋体" w:hAnsi="宋体" w:cs="宋体"/>
          <w:sz w:val="24"/>
        </w:rPr>
      </w:pPr>
      <w:r>
        <w:rPr>
          <w:rFonts w:hint="eastAsia" w:ascii="宋体" w:hAnsi="宋体" w:cs="宋体"/>
          <w:sz w:val="24"/>
        </w:rPr>
        <w:t>6．本协议书自签署之日起生效，联合体未成交或者合同履行完毕后自动失效。</w:t>
      </w:r>
    </w:p>
    <w:p w14:paraId="6F8F8B7C">
      <w:pPr>
        <w:spacing w:line="360" w:lineRule="auto"/>
        <w:ind w:firstLine="435"/>
        <w:rPr>
          <w:rFonts w:ascii="宋体" w:hAnsi="宋体" w:cs="宋体"/>
          <w:sz w:val="24"/>
        </w:rPr>
      </w:pPr>
      <w:r>
        <w:rPr>
          <w:rFonts w:hint="eastAsia" w:ascii="宋体" w:hAnsi="宋体" w:cs="宋体"/>
          <w:sz w:val="24"/>
        </w:rPr>
        <w:t>联合体成员一：（公章）</w:t>
      </w:r>
    </w:p>
    <w:p w14:paraId="6F315AAF">
      <w:pPr>
        <w:spacing w:line="360" w:lineRule="auto"/>
        <w:ind w:firstLine="435"/>
        <w:rPr>
          <w:rFonts w:ascii="宋体" w:hAnsi="宋体" w:cs="宋体"/>
          <w:sz w:val="24"/>
        </w:rPr>
      </w:pPr>
      <w:r>
        <w:rPr>
          <w:rFonts w:hint="eastAsia" w:ascii="宋体" w:hAnsi="宋体" w:cs="宋体"/>
          <w:sz w:val="24"/>
        </w:rPr>
        <w:t>法定代表人：（签字或盖章）</w:t>
      </w:r>
    </w:p>
    <w:p w14:paraId="262D09FA">
      <w:pPr>
        <w:spacing w:line="360" w:lineRule="auto"/>
        <w:ind w:firstLine="435"/>
        <w:rPr>
          <w:rFonts w:ascii="宋体" w:hAnsi="宋体" w:cs="宋体"/>
          <w:sz w:val="24"/>
        </w:rPr>
      </w:pPr>
      <w:r>
        <w:rPr>
          <w:rFonts w:hint="eastAsia" w:ascii="宋体" w:hAnsi="宋体" w:cs="宋体"/>
          <w:sz w:val="24"/>
        </w:rPr>
        <w:t>联合体成员二：（公章）</w:t>
      </w:r>
    </w:p>
    <w:p w14:paraId="4018E7D3">
      <w:pPr>
        <w:spacing w:line="360" w:lineRule="auto"/>
        <w:ind w:firstLine="435"/>
        <w:rPr>
          <w:rFonts w:ascii="宋体" w:hAnsi="宋体" w:cs="宋体"/>
          <w:sz w:val="24"/>
        </w:rPr>
      </w:pPr>
      <w:r>
        <w:rPr>
          <w:rFonts w:hint="eastAsia" w:ascii="宋体" w:hAnsi="宋体" w:cs="宋体"/>
          <w:sz w:val="24"/>
        </w:rPr>
        <w:t>法定代表人：（签字或盖章）</w:t>
      </w:r>
    </w:p>
    <w:p w14:paraId="31576827">
      <w:pPr>
        <w:spacing w:line="360" w:lineRule="auto"/>
        <w:ind w:firstLine="435"/>
        <w:rPr>
          <w:rFonts w:ascii="宋体" w:hAnsi="宋体" w:cs="宋体"/>
          <w:sz w:val="24"/>
        </w:rPr>
      </w:pPr>
      <w:r>
        <w:rPr>
          <w:rFonts w:hint="eastAsia" w:ascii="宋体" w:hAnsi="宋体" w:cs="宋体"/>
          <w:sz w:val="24"/>
        </w:rPr>
        <w:t>…………</w:t>
      </w:r>
    </w:p>
    <w:p w14:paraId="38A5B0CB">
      <w:pPr>
        <w:pStyle w:val="21"/>
        <w:spacing w:line="360" w:lineRule="auto"/>
        <w:rPr>
          <w:rFonts w:ascii="宋体" w:hAnsi="宋体" w:eastAsia="宋体" w:cs="宋体"/>
          <w:sz w:val="24"/>
        </w:rPr>
      </w:pPr>
    </w:p>
    <w:p w14:paraId="32FF91F7">
      <w:pPr>
        <w:jc w:val="right"/>
        <w:rPr>
          <w:rFonts w:ascii="宋体" w:hAnsi="宋体" w:cs="宋体"/>
          <w:sz w:val="24"/>
        </w:rPr>
      </w:pPr>
      <w:r>
        <w:rPr>
          <w:rFonts w:hint="eastAsia" w:ascii="宋体" w:hAnsi="宋体" w:cs="宋体"/>
          <w:sz w:val="24"/>
        </w:rPr>
        <w:t>签订日期：   年   月   日</w:t>
      </w:r>
    </w:p>
    <w:p w14:paraId="5329ADD9">
      <w:pPr>
        <w:rPr>
          <w:rFonts w:ascii="宋体" w:hAnsi="宋体" w:cs="宋体"/>
          <w:sz w:val="28"/>
        </w:rPr>
      </w:pPr>
      <w:r>
        <w:rPr>
          <w:rFonts w:hint="eastAsia" w:ascii="宋体" w:hAnsi="宋体" w:cs="宋体"/>
          <w:sz w:val="28"/>
        </w:rPr>
        <w:br w:type="page"/>
      </w:r>
    </w:p>
    <w:p w14:paraId="4D32BA3D">
      <w:pPr>
        <w:jc w:val="center"/>
        <w:rPr>
          <w:rFonts w:ascii="宋体" w:hAnsi="宋体" w:cs="宋体"/>
          <w:szCs w:val="24"/>
        </w:rPr>
      </w:pPr>
      <w:bookmarkStart w:id="121" w:name="_Toc15154"/>
      <w:r>
        <w:rPr>
          <w:rFonts w:hint="eastAsia" w:ascii="宋体" w:hAnsi="宋体" w:cs="宋体"/>
          <w:b/>
        </w:rPr>
        <w:t>八</w:t>
      </w:r>
      <w:r>
        <w:rPr>
          <w:rFonts w:hint="eastAsia" w:ascii="宋体" w:hAnsi="宋体" w:cs="宋体"/>
          <w:b/>
          <w:bCs/>
          <w:sz w:val="24"/>
          <w:szCs w:val="22"/>
        </w:rPr>
        <w:t>、其他资格</w:t>
      </w:r>
      <w:bookmarkEnd w:id="121"/>
      <w:r>
        <w:rPr>
          <w:rFonts w:hint="eastAsia" w:ascii="宋体" w:hAnsi="宋体" w:cs="宋体"/>
          <w:b/>
          <w:bCs/>
          <w:sz w:val="24"/>
          <w:szCs w:val="22"/>
        </w:rPr>
        <w:t>证明材料</w:t>
      </w:r>
    </w:p>
    <w:p w14:paraId="39E73CE1">
      <w:pPr>
        <w:pStyle w:val="4"/>
        <w:spacing w:before="140" w:after="140"/>
        <w:jc w:val="center"/>
        <w:rPr>
          <w:rFonts w:ascii="宋体" w:hAnsi="宋体" w:cs="宋体"/>
          <w:sz w:val="24"/>
          <w:szCs w:val="24"/>
        </w:rPr>
      </w:pPr>
      <w:bookmarkStart w:id="122" w:name="_Toc31168"/>
      <w:bookmarkStart w:id="123" w:name="_Toc2753"/>
      <w:r>
        <w:rPr>
          <w:rFonts w:hint="eastAsia" w:ascii="宋体" w:hAnsi="宋体" w:cs="宋体"/>
          <w:b w:val="0"/>
          <w:bCs w:val="0"/>
          <w:sz w:val="24"/>
          <w:szCs w:val="24"/>
        </w:rPr>
        <w:t>（如有，提供符合发包文件要求的其他资格证明材料）</w:t>
      </w:r>
      <w:bookmarkEnd w:id="122"/>
      <w:bookmarkEnd w:id="123"/>
    </w:p>
    <w:p w14:paraId="4353E01B">
      <w:pPr>
        <w:rPr>
          <w:rFonts w:ascii="宋体" w:hAnsi="宋体" w:cs="宋体"/>
          <w:b/>
          <w:sz w:val="24"/>
        </w:rPr>
      </w:pPr>
      <w:r>
        <w:rPr>
          <w:rFonts w:hint="eastAsia" w:ascii="宋体" w:hAnsi="宋体" w:cs="宋体"/>
          <w:b/>
          <w:sz w:val="24"/>
        </w:rPr>
        <w:br w:type="page"/>
      </w:r>
    </w:p>
    <w:p w14:paraId="2F44AB9C">
      <w:pPr>
        <w:spacing w:line="360" w:lineRule="auto"/>
        <w:jc w:val="center"/>
        <w:outlineLvl w:val="1"/>
        <w:rPr>
          <w:rFonts w:ascii="宋体" w:hAnsi="宋体" w:cs="宋体"/>
          <w:b/>
          <w:sz w:val="24"/>
        </w:rPr>
      </w:pPr>
      <w:r>
        <w:rPr>
          <w:rFonts w:hint="eastAsia" w:ascii="宋体" w:hAnsi="宋体" w:cs="宋体"/>
          <w:b/>
          <w:sz w:val="24"/>
        </w:rPr>
        <w:t>九、响应情况表</w:t>
      </w:r>
    </w:p>
    <w:p w14:paraId="7CFF71EA">
      <w:pPr>
        <w:spacing w:line="360" w:lineRule="auto"/>
        <w:ind w:firstLine="435"/>
        <w:outlineLvl w:val="2"/>
        <w:rPr>
          <w:rFonts w:ascii="宋体" w:hAnsi="宋体" w:cs="宋体"/>
          <w:b/>
          <w:sz w:val="24"/>
        </w:rPr>
      </w:pPr>
      <w:r>
        <w:rPr>
          <w:rFonts w:hint="eastAsia" w:ascii="宋体" w:hAnsi="宋体" w:cs="宋体"/>
          <w:b/>
          <w:sz w:val="24"/>
        </w:rPr>
        <w:t>6.1商务响应表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916"/>
        <w:gridCol w:w="2499"/>
        <w:gridCol w:w="2575"/>
        <w:gridCol w:w="810"/>
      </w:tblGrid>
      <w:tr w14:paraId="5FBE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945BD21">
            <w:pPr>
              <w:pStyle w:val="13"/>
              <w:jc w:val="center"/>
              <w:rPr>
                <w:rFonts w:hAnsi="宋体" w:eastAsia="宋体" w:cs="宋体"/>
                <w:b/>
                <w:sz w:val="24"/>
              </w:rPr>
            </w:pPr>
            <w:r>
              <w:rPr>
                <w:rFonts w:hint="eastAsia" w:hAnsi="宋体" w:eastAsia="宋体" w:cs="宋体"/>
                <w:b/>
                <w:sz w:val="24"/>
              </w:rPr>
              <w:t>序号</w:t>
            </w:r>
          </w:p>
        </w:tc>
        <w:tc>
          <w:tcPr>
            <w:tcW w:w="1124" w:type="pct"/>
            <w:vAlign w:val="center"/>
          </w:tcPr>
          <w:p w14:paraId="4C19F2EE">
            <w:pPr>
              <w:pStyle w:val="13"/>
              <w:jc w:val="center"/>
              <w:rPr>
                <w:rFonts w:hAnsi="宋体" w:eastAsia="宋体" w:cs="宋体"/>
                <w:b/>
                <w:sz w:val="24"/>
              </w:rPr>
            </w:pPr>
            <w:r>
              <w:rPr>
                <w:rFonts w:hint="eastAsia" w:hAnsi="宋体" w:eastAsia="宋体" w:cs="宋体"/>
                <w:b/>
                <w:bCs/>
                <w:sz w:val="24"/>
                <w:szCs w:val="24"/>
              </w:rPr>
              <w:t>商务条款</w:t>
            </w:r>
          </w:p>
        </w:tc>
        <w:tc>
          <w:tcPr>
            <w:tcW w:w="1465" w:type="pct"/>
            <w:vAlign w:val="center"/>
          </w:tcPr>
          <w:p w14:paraId="7C233F81">
            <w:pPr>
              <w:pStyle w:val="13"/>
              <w:jc w:val="center"/>
              <w:rPr>
                <w:rFonts w:hAnsi="宋体" w:eastAsia="宋体" w:cs="宋体"/>
                <w:b/>
                <w:sz w:val="24"/>
              </w:rPr>
            </w:pPr>
            <w:r>
              <w:rPr>
                <w:rFonts w:hint="eastAsia" w:hAnsi="宋体" w:eastAsia="宋体" w:cs="宋体"/>
                <w:b/>
                <w:sz w:val="24"/>
              </w:rPr>
              <w:t>发包文件要求</w:t>
            </w:r>
          </w:p>
        </w:tc>
        <w:tc>
          <w:tcPr>
            <w:tcW w:w="1510" w:type="pct"/>
            <w:vAlign w:val="center"/>
          </w:tcPr>
          <w:p w14:paraId="151C8F64">
            <w:pPr>
              <w:pStyle w:val="13"/>
              <w:jc w:val="center"/>
              <w:rPr>
                <w:rFonts w:hAnsi="宋体" w:eastAsia="宋体" w:cs="宋体"/>
                <w:b/>
                <w:sz w:val="24"/>
              </w:rPr>
            </w:pPr>
            <w:r>
              <w:rPr>
                <w:rFonts w:hint="eastAsia" w:hAnsi="宋体" w:eastAsia="宋体" w:cs="宋体"/>
                <w:b/>
                <w:sz w:val="24"/>
              </w:rPr>
              <w:t>供应商承诺</w:t>
            </w:r>
          </w:p>
        </w:tc>
        <w:tc>
          <w:tcPr>
            <w:tcW w:w="475" w:type="pct"/>
            <w:vAlign w:val="center"/>
          </w:tcPr>
          <w:p w14:paraId="66B3C09D">
            <w:pPr>
              <w:pStyle w:val="13"/>
              <w:jc w:val="center"/>
              <w:rPr>
                <w:rFonts w:hAnsi="宋体" w:eastAsia="宋体" w:cs="宋体"/>
                <w:b/>
                <w:sz w:val="24"/>
              </w:rPr>
            </w:pPr>
            <w:r>
              <w:rPr>
                <w:rFonts w:hint="eastAsia" w:hAnsi="宋体" w:eastAsia="宋体" w:cs="宋体"/>
                <w:b/>
                <w:sz w:val="24"/>
              </w:rPr>
              <w:t>偏离说明</w:t>
            </w:r>
          </w:p>
        </w:tc>
      </w:tr>
      <w:tr w14:paraId="1B1F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1092FB1">
            <w:pPr>
              <w:jc w:val="center"/>
              <w:rPr>
                <w:rFonts w:ascii="宋体" w:hAnsi="宋体" w:cs="宋体"/>
                <w:sz w:val="24"/>
              </w:rPr>
            </w:pPr>
            <w:r>
              <w:rPr>
                <w:rFonts w:hint="eastAsia" w:ascii="宋体" w:hAnsi="宋体" w:cs="宋体"/>
                <w:sz w:val="24"/>
              </w:rPr>
              <w:t>1</w:t>
            </w:r>
          </w:p>
        </w:tc>
        <w:tc>
          <w:tcPr>
            <w:tcW w:w="1124" w:type="pct"/>
            <w:vAlign w:val="center"/>
          </w:tcPr>
          <w:p w14:paraId="16883BF1">
            <w:pPr>
              <w:jc w:val="center"/>
              <w:rPr>
                <w:rFonts w:ascii="宋体" w:hAnsi="宋体" w:cs="宋体"/>
                <w:sz w:val="24"/>
              </w:rPr>
            </w:pPr>
            <w:r>
              <w:rPr>
                <w:rFonts w:hint="eastAsia" w:ascii="宋体" w:hAnsi="宋体" w:cs="宋体"/>
                <w:sz w:val="24"/>
              </w:rPr>
              <w:t>付款方式</w:t>
            </w:r>
          </w:p>
        </w:tc>
        <w:tc>
          <w:tcPr>
            <w:tcW w:w="1465" w:type="pct"/>
            <w:vAlign w:val="center"/>
          </w:tcPr>
          <w:p w14:paraId="7FB38B76">
            <w:pPr>
              <w:jc w:val="center"/>
              <w:rPr>
                <w:rFonts w:ascii="宋体" w:hAnsi="宋体" w:cs="宋体"/>
                <w:sz w:val="24"/>
              </w:rPr>
            </w:pPr>
          </w:p>
        </w:tc>
        <w:tc>
          <w:tcPr>
            <w:tcW w:w="1510" w:type="pct"/>
            <w:vAlign w:val="center"/>
          </w:tcPr>
          <w:p w14:paraId="16679503">
            <w:pPr>
              <w:jc w:val="center"/>
              <w:rPr>
                <w:rFonts w:ascii="宋体" w:hAnsi="宋体" w:cs="宋体"/>
                <w:sz w:val="24"/>
              </w:rPr>
            </w:pPr>
          </w:p>
        </w:tc>
        <w:tc>
          <w:tcPr>
            <w:tcW w:w="475" w:type="pct"/>
            <w:vAlign w:val="center"/>
          </w:tcPr>
          <w:p w14:paraId="41139E56">
            <w:pPr>
              <w:jc w:val="center"/>
              <w:rPr>
                <w:rFonts w:ascii="宋体" w:hAnsi="宋体" w:cs="宋体"/>
                <w:sz w:val="24"/>
              </w:rPr>
            </w:pPr>
          </w:p>
        </w:tc>
      </w:tr>
      <w:tr w14:paraId="14F5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15E9B68">
            <w:pPr>
              <w:jc w:val="center"/>
              <w:rPr>
                <w:rFonts w:ascii="宋体" w:hAnsi="宋体" w:cs="宋体"/>
                <w:sz w:val="24"/>
              </w:rPr>
            </w:pPr>
            <w:r>
              <w:rPr>
                <w:rFonts w:hint="eastAsia" w:ascii="宋体" w:hAnsi="宋体" w:cs="宋体"/>
                <w:sz w:val="24"/>
              </w:rPr>
              <w:t>2</w:t>
            </w:r>
          </w:p>
        </w:tc>
        <w:tc>
          <w:tcPr>
            <w:tcW w:w="1124" w:type="pct"/>
            <w:vAlign w:val="center"/>
          </w:tcPr>
          <w:p w14:paraId="4909128F">
            <w:pPr>
              <w:jc w:val="center"/>
              <w:rPr>
                <w:rFonts w:ascii="宋体" w:hAnsi="宋体" w:cs="宋体"/>
                <w:sz w:val="24"/>
              </w:rPr>
            </w:pPr>
            <w:r>
              <w:rPr>
                <w:rFonts w:hint="eastAsia" w:ascii="宋体" w:hAnsi="宋体" w:cs="宋体"/>
                <w:sz w:val="24"/>
              </w:rPr>
              <w:t>服务地点</w:t>
            </w:r>
          </w:p>
        </w:tc>
        <w:tc>
          <w:tcPr>
            <w:tcW w:w="1465" w:type="pct"/>
            <w:vAlign w:val="center"/>
          </w:tcPr>
          <w:p w14:paraId="6EBEFD43">
            <w:pPr>
              <w:jc w:val="center"/>
              <w:rPr>
                <w:rFonts w:ascii="宋体" w:hAnsi="宋体" w:cs="宋体"/>
                <w:sz w:val="24"/>
              </w:rPr>
            </w:pPr>
          </w:p>
        </w:tc>
        <w:tc>
          <w:tcPr>
            <w:tcW w:w="1510" w:type="pct"/>
            <w:vAlign w:val="center"/>
          </w:tcPr>
          <w:p w14:paraId="3BFBCAC5">
            <w:pPr>
              <w:jc w:val="center"/>
              <w:rPr>
                <w:rFonts w:ascii="宋体" w:hAnsi="宋体" w:cs="宋体"/>
                <w:sz w:val="24"/>
              </w:rPr>
            </w:pPr>
          </w:p>
        </w:tc>
        <w:tc>
          <w:tcPr>
            <w:tcW w:w="475" w:type="pct"/>
            <w:vAlign w:val="center"/>
          </w:tcPr>
          <w:p w14:paraId="474F1420">
            <w:pPr>
              <w:jc w:val="center"/>
              <w:rPr>
                <w:rFonts w:ascii="宋体" w:hAnsi="宋体" w:cs="宋体"/>
                <w:sz w:val="24"/>
              </w:rPr>
            </w:pPr>
          </w:p>
        </w:tc>
      </w:tr>
      <w:tr w14:paraId="7FEC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D13E191">
            <w:pPr>
              <w:jc w:val="center"/>
              <w:rPr>
                <w:rFonts w:ascii="宋体" w:hAnsi="宋体" w:cs="宋体"/>
                <w:sz w:val="24"/>
              </w:rPr>
            </w:pPr>
            <w:r>
              <w:rPr>
                <w:rFonts w:hint="eastAsia" w:ascii="宋体" w:hAnsi="宋体" w:cs="宋体"/>
                <w:sz w:val="24"/>
              </w:rPr>
              <w:t>3</w:t>
            </w:r>
          </w:p>
        </w:tc>
        <w:tc>
          <w:tcPr>
            <w:tcW w:w="1124" w:type="pct"/>
            <w:vAlign w:val="center"/>
          </w:tcPr>
          <w:p w14:paraId="6016D782">
            <w:pPr>
              <w:jc w:val="center"/>
              <w:rPr>
                <w:rFonts w:ascii="宋体" w:hAnsi="宋体" w:cs="宋体"/>
                <w:sz w:val="24"/>
              </w:rPr>
            </w:pPr>
            <w:r>
              <w:rPr>
                <w:rFonts w:hint="eastAsia" w:ascii="宋体" w:hAnsi="宋体" w:cs="宋体"/>
                <w:sz w:val="24"/>
              </w:rPr>
              <w:t>服务期限</w:t>
            </w:r>
          </w:p>
        </w:tc>
        <w:tc>
          <w:tcPr>
            <w:tcW w:w="1465" w:type="pct"/>
            <w:vAlign w:val="center"/>
          </w:tcPr>
          <w:p w14:paraId="3D9B57D0">
            <w:pPr>
              <w:jc w:val="center"/>
              <w:rPr>
                <w:rFonts w:ascii="宋体" w:hAnsi="宋体" w:cs="宋体"/>
                <w:sz w:val="24"/>
              </w:rPr>
            </w:pPr>
          </w:p>
        </w:tc>
        <w:tc>
          <w:tcPr>
            <w:tcW w:w="1510" w:type="pct"/>
            <w:vAlign w:val="center"/>
          </w:tcPr>
          <w:p w14:paraId="70A9A7C6">
            <w:pPr>
              <w:pStyle w:val="53"/>
              <w:jc w:val="center"/>
              <w:rPr>
                <w:rFonts w:ascii="宋体" w:hAnsi="宋体" w:cs="宋体"/>
              </w:rPr>
            </w:pPr>
          </w:p>
        </w:tc>
        <w:tc>
          <w:tcPr>
            <w:tcW w:w="475" w:type="pct"/>
            <w:vAlign w:val="center"/>
          </w:tcPr>
          <w:p w14:paraId="3A201D3E">
            <w:pPr>
              <w:jc w:val="center"/>
              <w:rPr>
                <w:rFonts w:ascii="宋体" w:hAnsi="宋体" w:cs="宋体"/>
                <w:sz w:val="24"/>
              </w:rPr>
            </w:pPr>
          </w:p>
        </w:tc>
      </w:tr>
      <w:tr w14:paraId="7044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36F3627">
            <w:pPr>
              <w:jc w:val="center"/>
              <w:rPr>
                <w:rFonts w:ascii="宋体" w:hAnsi="宋体" w:cs="宋体"/>
                <w:sz w:val="24"/>
              </w:rPr>
            </w:pPr>
            <w:r>
              <w:rPr>
                <w:rFonts w:hint="eastAsia" w:ascii="宋体" w:hAnsi="宋体" w:cs="宋体"/>
                <w:sz w:val="24"/>
              </w:rPr>
              <w:t>…</w:t>
            </w:r>
          </w:p>
        </w:tc>
        <w:tc>
          <w:tcPr>
            <w:tcW w:w="1124" w:type="pct"/>
            <w:vAlign w:val="center"/>
          </w:tcPr>
          <w:p w14:paraId="402DDA51">
            <w:pPr>
              <w:jc w:val="center"/>
              <w:rPr>
                <w:rFonts w:ascii="宋体" w:hAnsi="宋体" w:cs="宋体"/>
                <w:sz w:val="24"/>
              </w:rPr>
            </w:pPr>
          </w:p>
        </w:tc>
        <w:tc>
          <w:tcPr>
            <w:tcW w:w="1465" w:type="pct"/>
            <w:vAlign w:val="center"/>
          </w:tcPr>
          <w:p w14:paraId="6DD0454F">
            <w:pPr>
              <w:jc w:val="center"/>
              <w:rPr>
                <w:rFonts w:ascii="宋体" w:hAnsi="宋体" w:cs="宋体"/>
                <w:sz w:val="24"/>
              </w:rPr>
            </w:pPr>
          </w:p>
        </w:tc>
        <w:tc>
          <w:tcPr>
            <w:tcW w:w="1510" w:type="pct"/>
            <w:vAlign w:val="center"/>
          </w:tcPr>
          <w:p w14:paraId="477613DF">
            <w:pPr>
              <w:jc w:val="center"/>
              <w:rPr>
                <w:rFonts w:ascii="宋体" w:hAnsi="宋体" w:cs="宋体"/>
                <w:sz w:val="24"/>
              </w:rPr>
            </w:pPr>
          </w:p>
        </w:tc>
        <w:tc>
          <w:tcPr>
            <w:tcW w:w="475" w:type="pct"/>
            <w:vAlign w:val="center"/>
          </w:tcPr>
          <w:p w14:paraId="4A887799">
            <w:pPr>
              <w:jc w:val="center"/>
              <w:rPr>
                <w:rFonts w:ascii="宋体" w:hAnsi="宋体" w:cs="宋体"/>
                <w:sz w:val="24"/>
              </w:rPr>
            </w:pPr>
          </w:p>
        </w:tc>
      </w:tr>
    </w:tbl>
    <w:p w14:paraId="72F209B8">
      <w:pPr>
        <w:spacing w:line="360" w:lineRule="auto"/>
        <w:ind w:firstLine="435"/>
        <w:outlineLvl w:val="2"/>
        <w:rPr>
          <w:rFonts w:ascii="宋体" w:hAnsi="宋体" w:cs="宋体"/>
          <w:b/>
          <w:sz w:val="24"/>
        </w:rPr>
      </w:pPr>
    </w:p>
    <w:p w14:paraId="3840DDAC">
      <w:pPr>
        <w:spacing w:line="360" w:lineRule="auto"/>
        <w:ind w:firstLine="435"/>
        <w:outlineLvl w:val="2"/>
        <w:rPr>
          <w:rFonts w:ascii="宋体" w:hAnsi="宋体" w:cs="宋体"/>
          <w:bCs/>
          <w:i/>
          <w:iCs/>
          <w:sz w:val="24"/>
        </w:rPr>
      </w:pPr>
      <w:r>
        <w:rPr>
          <w:rFonts w:hint="eastAsia" w:ascii="宋体" w:hAnsi="宋体" w:cs="宋体"/>
          <w:b/>
          <w:sz w:val="24"/>
        </w:rPr>
        <w:t>6.2技术响应表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559"/>
        <w:gridCol w:w="2540"/>
        <w:gridCol w:w="2811"/>
        <w:gridCol w:w="856"/>
      </w:tblGrid>
      <w:tr w14:paraId="1220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4" w:type="pct"/>
            <w:vAlign w:val="center"/>
          </w:tcPr>
          <w:p w14:paraId="7D77A270">
            <w:pPr>
              <w:pStyle w:val="13"/>
              <w:jc w:val="center"/>
              <w:rPr>
                <w:rFonts w:hAnsi="宋体" w:eastAsia="宋体" w:cs="宋体"/>
                <w:b/>
                <w:sz w:val="24"/>
              </w:rPr>
            </w:pPr>
            <w:r>
              <w:rPr>
                <w:rFonts w:hint="eastAsia" w:hAnsi="宋体" w:eastAsia="宋体" w:cs="宋体"/>
                <w:b/>
                <w:sz w:val="24"/>
              </w:rPr>
              <w:t>序号</w:t>
            </w:r>
          </w:p>
        </w:tc>
        <w:tc>
          <w:tcPr>
            <w:tcW w:w="915" w:type="pct"/>
            <w:vAlign w:val="center"/>
          </w:tcPr>
          <w:p w14:paraId="6C5B9A62">
            <w:pPr>
              <w:pStyle w:val="13"/>
              <w:jc w:val="center"/>
              <w:rPr>
                <w:rFonts w:hAnsi="宋体" w:eastAsia="宋体" w:cs="宋体"/>
                <w:b/>
                <w:sz w:val="24"/>
              </w:rPr>
            </w:pPr>
            <w:r>
              <w:rPr>
                <w:rFonts w:hint="eastAsia" w:hAnsi="宋体" w:eastAsia="宋体" w:cs="宋体"/>
                <w:b/>
                <w:bCs/>
                <w:sz w:val="24"/>
                <w:szCs w:val="24"/>
              </w:rPr>
              <w:t>货物名称</w:t>
            </w:r>
          </w:p>
        </w:tc>
        <w:tc>
          <w:tcPr>
            <w:tcW w:w="1489" w:type="pct"/>
            <w:vAlign w:val="center"/>
          </w:tcPr>
          <w:p w14:paraId="31F72450">
            <w:pPr>
              <w:pStyle w:val="13"/>
              <w:jc w:val="center"/>
              <w:rPr>
                <w:rFonts w:hAnsi="宋体" w:eastAsia="宋体" w:cs="宋体"/>
                <w:b/>
                <w:sz w:val="24"/>
              </w:rPr>
            </w:pPr>
            <w:r>
              <w:rPr>
                <w:rFonts w:hint="eastAsia" w:hAnsi="宋体" w:eastAsia="宋体" w:cs="宋体"/>
                <w:b/>
                <w:sz w:val="24"/>
              </w:rPr>
              <w:t>发包文件规定的技术参数要求</w:t>
            </w:r>
          </w:p>
        </w:tc>
        <w:tc>
          <w:tcPr>
            <w:tcW w:w="1648" w:type="pct"/>
            <w:vAlign w:val="center"/>
          </w:tcPr>
          <w:p w14:paraId="2463843A">
            <w:pPr>
              <w:pStyle w:val="13"/>
              <w:jc w:val="center"/>
              <w:rPr>
                <w:rFonts w:hAnsi="宋体" w:eastAsia="宋体" w:cs="宋体"/>
                <w:b/>
                <w:sz w:val="24"/>
              </w:rPr>
            </w:pPr>
            <w:r>
              <w:rPr>
                <w:rFonts w:hint="eastAsia" w:hAnsi="宋体" w:eastAsia="宋体" w:cs="宋体"/>
                <w:b/>
                <w:sz w:val="24"/>
              </w:rPr>
              <w:t>所投产品的品牌、型号及技术参数</w:t>
            </w:r>
          </w:p>
        </w:tc>
        <w:tc>
          <w:tcPr>
            <w:tcW w:w="502" w:type="pct"/>
            <w:vAlign w:val="center"/>
          </w:tcPr>
          <w:p w14:paraId="7CA14783">
            <w:pPr>
              <w:pStyle w:val="13"/>
              <w:jc w:val="center"/>
              <w:rPr>
                <w:rFonts w:hAnsi="宋体" w:eastAsia="宋体" w:cs="宋体"/>
                <w:b/>
                <w:sz w:val="24"/>
              </w:rPr>
            </w:pPr>
            <w:r>
              <w:rPr>
                <w:rFonts w:hint="eastAsia" w:hAnsi="宋体" w:eastAsia="宋体" w:cs="宋体"/>
                <w:b/>
                <w:sz w:val="24"/>
              </w:rPr>
              <w:t>偏离说明</w:t>
            </w:r>
          </w:p>
        </w:tc>
      </w:tr>
      <w:tr w14:paraId="0356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0DEC7957">
            <w:pPr>
              <w:jc w:val="center"/>
              <w:rPr>
                <w:rFonts w:ascii="宋体" w:hAnsi="宋体" w:cs="宋体"/>
                <w:sz w:val="24"/>
              </w:rPr>
            </w:pPr>
            <w:r>
              <w:rPr>
                <w:rFonts w:hint="eastAsia" w:ascii="宋体" w:hAnsi="宋体" w:cs="宋体"/>
                <w:sz w:val="24"/>
              </w:rPr>
              <w:t>1</w:t>
            </w:r>
          </w:p>
        </w:tc>
        <w:tc>
          <w:tcPr>
            <w:tcW w:w="915" w:type="pct"/>
            <w:vAlign w:val="center"/>
          </w:tcPr>
          <w:p w14:paraId="47697006">
            <w:pPr>
              <w:jc w:val="center"/>
              <w:rPr>
                <w:rFonts w:ascii="宋体" w:hAnsi="宋体" w:cs="宋体"/>
                <w:sz w:val="24"/>
              </w:rPr>
            </w:pPr>
          </w:p>
        </w:tc>
        <w:tc>
          <w:tcPr>
            <w:tcW w:w="1489" w:type="pct"/>
            <w:vAlign w:val="center"/>
          </w:tcPr>
          <w:p w14:paraId="7014A40F">
            <w:pPr>
              <w:jc w:val="center"/>
              <w:rPr>
                <w:rFonts w:ascii="宋体" w:hAnsi="宋体" w:cs="宋体"/>
                <w:sz w:val="24"/>
              </w:rPr>
            </w:pPr>
          </w:p>
        </w:tc>
        <w:tc>
          <w:tcPr>
            <w:tcW w:w="1648" w:type="pct"/>
            <w:vAlign w:val="center"/>
          </w:tcPr>
          <w:p w14:paraId="23742273">
            <w:pPr>
              <w:jc w:val="center"/>
              <w:rPr>
                <w:rFonts w:ascii="宋体" w:hAnsi="宋体" w:cs="宋体"/>
                <w:sz w:val="24"/>
              </w:rPr>
            </w:pPr>
          </w:p>
        </w:tc>
        <w:tc>
          <w:tcPr>
            <w:tcW w:w="502" w:type="pct"/>
            <w:vAlign w:val="center"/>
          </w:tcPr>
          <w:p w14:paraId="43780F18">
            <w:pPr>
              <w:jc w:val="center"/>
              <w:rPr>
                <w:rFonts w:ascii="宋体" w:hAnsi="宋体" w:cs="宋体"/>
                <w:sz w:val="24"/>
              </w:rPr>
            </w:pPr>
          </w:p>
        </w:tc>
      </w:tr>
      <w:tr w14:paraId="5058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0EE78442">
            <w:pPr>
              <w:jc w:val="center"/>
              <w:rPr>
                <w:rFonts w:ascii="宋体" w:hAnsi="宋体" w:cs="宋体"/>
                <w:sz w:val="24"/>
              </w:rPr>
            </w:pPr>
            <w:r>
              <w:rPr>
                <w:rFonts w:hint="eastAsia" w:ascii="宋体" w:hAnsi="宋体" w:cs="宋体"/>
                <w:sz w:val="24"/>
              </w:rPr>
              <w:t>2</w:t>
            </w:r>
          </w:p>
        </w:tc>
        <w:tc>
          <w:tcPr>
            <w:tcW w:w="915" w:type="pct"/>
            <w:vAlign w:val="center"/>
          </w:tcPr>
          <w:p w14:paraId="35EFB419">
            <w:pPr>
              <w:jc w:val="center"/>
              <w:rPr>
                <w:rFonts w:ascii="宋体" w:hAnsi="宋体" w:cs="宋体"/>
                <w:sz w:val="24"/>
              </w:rPr>
            </w:pPr>
          </w:p>
        </w:tc>
        <w:tc>
          <w:tcPr>
            <w:tcW w:w="1489" w:type="pct"/>
            <w:vAlign w:val="center"/>
          </w:tcPr>
          <w:p w14:paraId="59642C85">
            <w:pPr>
              <w:jc w:val="center"/>
              <w:rPr>
                <w:rFonts w:ascii="宋体" w:hAnsi="宋体" w:cs="宋体"/>
                <w:sz w:val="24"/>
              </w:rPr>
            </w:pPr>
          </w:p>
        </w:tc>
        <w:tc>
          <w:tcPr>
            <w:tcW w:w="1648" w:type="pct"/>
            <w:vAlign w:val="center"/>
          </w:tcPr>
          <w:p w14:paraId="04594217">
            <w:pPr>
              <w:jc w:val="center"/>
              <w:rPr>
                <w:rFonts w:ascii="宋体" w:hAnsi="宋体" w:cs="宋体"/>
                <w:sz w:val="24"/>
              </w:rPr>
            </w:pPr>
          </w:p>
        </w:tc>
        <w:tc>
          <w:tcPr>
            <w:tcW w:w="502" w:type="pct"/>
            <w:vAlign w:val="center"/>
          </w:tcPr>
          <w:p w14:paraId="603B8C9B">
            <w:pPr>
              <w:jc w:val="center"/>
              <w:rPr>
                <w:rFonts w:ascii="宋体" w:hAnsi="宋体" w:cs="宋体"/>
                <w:sz w:val="24"/>
              </w:rPr>
            </w:pPr>
          </w:p>
        </w:tc>
      </w:tr>
      <w:tr w14:paraId="537D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47AAA41F">
            <w:pPr>
              <w:jc w:val="center"/>
              <w:rPr>
                <w:rFonts w:ascii="宋体" w:hAnsi="宋体" w:cs="宋体"/>
                <w:sz w:val="24"/>
              </w:rPr>
            </w:pPr>
            <w:r>
              <w:rPr>
                <w:rFonts w:hint="eastAsia" w:ascii="宋体" w:hAnsi="宋体" w:cs="宋体"/>
                <w:sz w:val="24"/>
              </w:rPr>
              <w:t>3</w:t>
            </w:r>
          </w:p>
        </w:tc>
        <w:tc>
          <w:tcPr>
            <w:tcW w:w="915" w:type="pct"/>
            <w:vAlign w:val="center"/>
          </w:tcPr>
          <w:p w14:paraId="7D1A3623">
            <w:pPr>
              <w:jc w:val="center"/>
              <w:rPr>
                <w:rFonts w:ascii="宋体" w:hAnsi="宋体" w:cs="宋体"/>
                <w:sz w:val="24"/>
              </w:rPr>
            </w:pPr>
          </w:p>
        </w:tc>
        <w:tc>
          <w:tcPr>
            <w:tcW w:w="1489" w:type="pct"/>
            <w:vAlign w:val="center"/>
          </w:tcPr>
          <w:p w14:paraId="2AD87081">
            <w:pPr>
              <w:jc w:val="center"/>
              <w:rPr>
                <w:rFonts w:ascii="宋体" w:hAnsi="宋体" w:cs="宋体"/>
                <w:sz w:val="24"/>
              </w:rPr>
            </w:pPr>
          </w:p>
        </w:tc>
        <w:tc>
          <w:tcPr>
            <w:tcW w:w="1648" w:type="pct"/>
            <w:vAlign w:val="center"/>
          </w:tcPr>
          <w:p w14:paraId="211BCDAE">
            <w:pPr>
              <w:pStyle w:val="53"/>
              <w:jc w:val="center"/>
              <w:rPr>
                <w:rFonts w:ascii="宋体" w:hAnsi="宋体" w:cs="宋体"/>
              </w:rPr>
            </w:pPr>
          </w:p>
        </w:tc>
        <w:tc>
          <w:tcPr>
            <w:tcW w:w="502" w:type="pct"/>
            <w:vAlign w:val="center"/>
          </w:tcPr>
          <w:p w14:paraId="68FBC9B1">
            <w:pPr>
              <w:jc w:val="center"/>
              <w:rPr>
                <w:rFonts w:ascii="宋体" w:hAnsi="宋体" w:cs="宋体"/>
                <w:sz w:val="24"/>
              </w:rPr>
            </w:pPr>
          </w:p>
        </w:tc>
      </w:tr>
      <w:tr w14:paraId="5A66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2808D885">
            <w:pPr>
              <w:jc w:val="center"/>
              <w:rPr>
                <w:rFonts w:ascii="宋体" w:hAnsi="宋体" w:cs="宋体"/>
                <w:sz w:val="24"/>
              </w:rPr>
            </w:pPr>
            <w:r>
              <w:rPr>
                <w:rFonts w:hint="eastAsia" w:ascii="宋体" w:hAnsi="宋体" w:cs="宋体"/>
                <w:sz w:val="24"/>
              </w:rPr>
              <w:t>4</w:t>
            </w:r>
          </w:p>
        </w:tc>
        <w:tc>
          <w:tcPr>
            <w:tcW w:w="915" w:type="pct"/>
            <w:vAlign w:val="center"/>
          </w:tcPr>
          <w:p w14:paraId="5D25A0F5">
            <w:pPr>
              <w:jc w:val="center"/>
              <w:rPr>
                <w:rFonts w:ascii="宋体" w:hAnsi="宋体" w:cs="宋体"/>
                <w:sz w:val="24"/>
              </w:rPr>
            </w:pPr>
          </w:p>
        </w:tc>
        <w:tc>
          <w:tcPr>
            <w:tcW w:w="1489" w:type="pct"/>
            <w:vAlign w:val="center"/>
          </w:tcPr>
          <w:p w14:paraId="6EFA24B0">
            <w:pPr>
              <w:jc w:val="center"/>
              <w:rPr>
                <w:rFonts w:ascii="宋体" w:hAnsi="宋体" w:cs="宋体"/>
                <w:sz w:val="24"/>
              </w:rPr>
            </w:pPr>
          </w:p>
        </w:tc>
        <w:tc>
          <w:tcPr>
            <w:tcW w:w="1648" w:type="pct"/>
            <w:vAlign w:val="center"/>
          </w:tcPr>
          <w:p w14:paraId="03B8D125">
            <w:pPr>
              <w:pStyle w:val="53"/>
              <w:jc w:val="center"/>
              <w:rPr>
                <w:rFonts w:ascii="宋体" w:hAnsi="宋体" w:cs="宋体"/>
              </w:rPr>
            </w:pPr>
          </w:p>
        </w:tc>
        <w:tc>
          <w:tcPr>
            <w:tcW w:w="502" w:type="pct"/>
            <w:vAlign w:val="center"/>
          </w:tcPr>
          <w:p w14:paraId="3E4481C3">
            <w:pPr>
              <w:jc w:val="center"/>
              <w:rPr>
                <w:rFonts w:ascii="宋体" w:hAnsi="宋体" w:cs="宋体"/>
                <w:sz w:val="24"/>
              </w:rPr>
            </w:pPr>
          </w:p>
        </w:tc>
      </w:tr>
      <w:tr w14:paraId="6B78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4" w:type="pct"/>
            <w:vAlign w:val="center"/>
          </w:tcPr>
          <w:p w14:paraId="54CEDE65">
            <w:pPr>
              <w:jc w:val="center"/>
              <w:rPr>
                <w:rFonts w:ascii="宋体" w:hAnsi="宋体" w:cs="宋体"/>
                <w:sz w:val="24"/>
              </w:rPr>
            </w:pPr>
            <w:r>
              <w:rPr>
                <w:rFonts w:hint="eastAsia" w:ascii="宋体" w:hAnsi="宋体" w:cs="宋体"/>
                <w:sz w:val="24"/>
              </w:rPr>
              <w:t>…</w:t>
            </w:r>
          </w:p>
        </w:tc>
        <w:tc>
          <w:tcPr>
            <w:tcW w:w="915" w:type="pct"/>
            <w:vAlign w:val="center"/>
          </w:tcPr>
          <w:p w14:paraId="440BE138">
            <w:pPr>
              <w:jc w:val="center"/>
              <w:rPr>
                <w:rFonts w:ascii="宋体" w:hAnsi="宋体" w:cs="宋体"/>
                <w:sz w:val="24"/>
              </w:rPr>
            </w:pPr>
          </w:p>
        </w:tc>
        <w:tc>
          <w:tcPr>
            <w:tcW w:w="1489" w:type="pct"/>
            <w:vAlign w:val="center"/>
          </w:tcPr>
          <w:p w14:paraId="05DB6226">
            <w:pPr>
              <w:jc w:val="center"/>
              <w:rPr>
                <w:rFonts w:ascii="宋体" w:hAnsi="宋体" w:cs="宋体"/>
                <w:sz w:val="24"/>
              </w:rPr>
            </w:pPr>
          </w:p>
        </w:tc>
        <w:tc>
          <w:tcPr>
            <w:tcW w:w="1648" w:type="pct"/>
            <w:vAlign w:val="center"/>
          </w:tcPr>
          <w:p w14:paraId="0963839B">
            <w:pPr>
              <w:jc w:val="center"/>
              <w:rPr>
                <w:rFonts w:ascii="宋体" w:hAnsi="宋体" w:cs="宋体"/>
                <w:sz w:val="24"/>
              </w:rPr>
            </w:pPr>
          </w:p>
        </w:tc>
        <w:tc>
          <w:tcPr>
            <w:tcW w:w="502" w:type="pct"/>
            <w:vAlign w:val="center"/>
          </w:tcPr>
          <w:p w14:paraId="03E082D0">
            <w:pPr>
              <w:jc w:val="center"/>
              <w:rPr>
                <w:rFonts w:ascii="宋体" w:hAnsi="宋体" w:cs="宋体"/>
                <w:sz w:val="24"/>
              </w:rPr>
            </w:pPr>
          </w:p>
        </w:tc>
      </w:tr>
    </w:tbl>
    <w:p w14:paraId="1B0B8167">
      <w:pPr>
        <w:spacing w:line="360" w:lineRule="auto"/>
        <w:ind w:firstLine="4800" w:firstLineChars="2000"/>
        <w:rPr>
          <w:rFonts w:ascii="宋体" w:hAnsi="宋体" w:cs="宋体"/>
          <w:sz w:val="24"/>
        </w:rPr>
      </w:pPr>
    </w:p>
    <w:p w14:paraId="37B28E81">
      <w:pPr>
        <w:spacing w:line="360" w:lineRule="auto"/>
        <w:ind w:firstLine="4800" w:firstLineChars="2000"/>
        <w:rPr>
          <w:rFonts w:ascii="宋体" w:hAnsi="宋体" w:cs="宋体"/>
          <w:sz w:val="24"/>
          <w:u w:val="single"/>
        </w:rPr>
      </w:pPr>
      <w:r>
        <w:rPr>
          <w:rFonts w:hint="eastAsia" w:ascii="宋体" w:hAnsi="宋体" w:cs="宋体"/>
          <w:sz w:val="24"/>
        </w:rPr>
        <w:t>供应商盖章：</w:t>
      </w:r>
    </w:p>
    <w:p w14:paraId="63307070">
      <w:pPr>
        <w:tabs>
          <w:tab w:val="left" w:pos="630"/>
        </w:tabs>
        <w:spacing w:line="360" w:lineRule="auto"/>
        <w:ind w:firstLine="4800" w:firstLineChars="2000"/>
        <w:rPr>
          <w:rFonts w:ascii="宋体" w:hAnsi="宋体" w:cs="宋体"/>
          <w:sz w:val="24"/>
          <w:u w:val="single"/>
        </w:rPr>
      </w:pPr>
      <w:r>
        <w:rPr>
          <w:rFonts w:hint="eastAsia" w:ascii="宋体" w:hAnsi="宋体" w:cs="宋体"/>
          <w:sz w:val="24"/>
        </w:rPr>
        <w:t>日          期：</w:t>
      </w:r>
    </w:p>
    <w:p w14:paraId="2D7C3290">
      <w:pPr>
        <w:adjustRightInd w:val="0"/>
        <w:snapToGrid w:val="0"/>
        <w:spacing w:line="360" w:lineRule="auto"/>
        <w:rPr>
          <w:rFonts w:ascii="宋体" w:hAnsi="宋体" w:cs="宋体"/>
          <w:b/>
          <w:bCs/>
          <w:sz w:val="24"/>
          <w:szCs w:val="28"/>
        </w:rPr>
      </w:pPr>
    </w:p>
    <w:p w14:paraId="1C32595A">
      <w:pPr>
        <w:spacing w:line="360" w:lineRule="auto"/>
        <w:ind w:firstLine="482" w:firstLineChars="200"/>
        <w:rPr>
          <w:rFonts w:ascii="宋体" w:hAnsi="宋体" w:cs="宋体"/>
          <w:bCs/>
          <w:sz w:val="24"/>
        </w:rPr>
      </w:pPr>
      <w:r>
        <w:rPr>
          <w:rFonts w:hint="eastAsia" w:ascii="宋体" w:hAnsi="宋体" w:cs="宋体"/>
          <w:b/>
          <w:bCs/>
          <w:sz w:val="24"/>
          <w:szCs w:val="28"/>
        </w:rPr>
        <w:t>备注：</w:t>
      </w:r>
      <w:r>
        <w:rPr>
          <w:rFonts w:hint="eastAsia" w:ascii="宋体" w:hAnsi="宋体" w:cs="宋体"/>
          <w:bCs/>
          <w:sz w:val="24"/>
        </w:rPr>
        <w:t>1、供应商必须逐项对应描述货物主要参数、材质、配置及服务要求，如不进行描述，仅在响应栏填“响应”或未填写或复制（包括全部复制或主要参数及配置的复制）发包文件技术参数的，包括有选择性的技术响应（例如在某一分项中出现两个及以上的品牌或两种及两种以上的技术规格），均可能导致响应无效；</w:t>
      </w:r>
    </w:p>
    <w:p w14:paraId="0B3F1110">
      <w:pPr>
        <w:spacing w:line="360" w:lineRule="auto"/>
        <w:ind w:firstLine="480" w:firstLineChars="200"/>
        <w:rPr>
          <w:rFonts w:ascii="宋体" w:hAnsi="宋体" w:cs="宋体"/>
          <w:bCs/>
          <w:sz w:val="24"/>
        </w:rPr>
      </w:pPr>
      <w:r>
        <w:rPr>
          <w:rFonts w:hint="eastAsia" w:ascii="宋体" w:hAnsi="宋体" w:cs="宋体"/>
          <w:bCs/>
          <w:sz w:val="24"/>
        </w:rPr>
        <w:t>2、供应商所供产品如与发包文件要求的规格及配置不一致，则须在上表偏离说明中详细注明。</w:t>
      </w:r>
    </w:p>
    <w:p w14:paraId="3E3866EF">
      <w:pPr>
        <w:spacing w:line="360" w:lineRule="auto"/>
        <w:ind w:firstLine="480" w:firstLineChars="200"/>
        <w:rPr>
          <w:rFonts w:ascii="宋体" w:hAnsi="宋体" w:cs="宋体"/>
          <w:sz w:val="24"/>
          <w:u w:val="single"/>
        </w:rPr>
      </w:pPr>
      <w:r>
        <w:rPr>
          <w:rFonts w:hint="eastAsia" w:ascii="宋体" w:hAnsi="宋体" w:cs="宋体"/>
          <w:bCs/>
          <w:sz w:val="24"/>
        </w:rPr>
        <w:t>3、响应部分可后附详细说明及技术资料</w:t>
      </w:r>
      <w:r>
        <w:rPr>
          <w:rFonts w:hint="eastAsia" w:ascii="宋体" w:hAnsi="宋体" w:cs="宋体"/>
          <w:sz w:val="24"/>
          <w:szCs w:val="28"/>
        </w:rPr>
        <w:t>。</w:t>
      </w:r>
    </w:p>
    <w:p w14:paraId="3D75D316">
      <w:pPr>
        <w:spacing w:line="360" w:lineRule="auto"/>
        <w:jc w:val="center"/>
        <w:outlineLvl w:val="1"/>
        <w:rPr>
          <w:rFonts w:ascii="宋体" w:hAnsi="宋体" w:cs="宋体"/>
          <w:b/>
          <w:sz w:val="24"/>
        </w:rPr>
      </w:pPr>
      <w:r>
        <w:rPr>
          <w:rFonts w:hint="eastAsia" w:ascii="宋体" w:hAnsi="宋体" w:cs="宋体"/>
          <w:b/>
          <w:sz w:val="24"/>
        </w:rPr>
        <w:br w:type="page"/>
      </w:r>
      <w:r>
        <w:rPr>
          <w:rFonts w:hint="eastAsia" w:ascii="宋体" w:hAnsi="宋体" w:cs="宋体"/>
          <w:b/>
          <w:sz w:val="24"/>
        </w:rPr>
        <w:t>十、其他技术响应证明材料</w:t>
      </w:r>
    </w:p>
    <w:p w14:paraId="6201FDAD">
      <w:pPr>
        <w:spacing w:line="360" w:lineRule="auto"/>
        <w:jc w:val="center"/>
        <w:rPr>
          <w:rFonts w:ascii="宋体" w:hAnsi="宋体" w:cs="宋体"/>
          <w:sz w:val="24"/>
        </w:rPr>
      </w:pPr>
      <w:r>
        <w:rPr>
          <w:rFonts w:hint="eastAsia" w:ascii="宋体" w:hAnsi="宋体" w:cs="宋体"/>
          <w:sz w:val="24"/>
        </w:rPr>
        <w:t>（如有，提供符合发包文件要求的其他技术响应证明材料）</w:t>
      </w:r>
    </w:p>
    <w:p w14:paraId="0C176C34">
      <w:pPr>
        <w:rPr>
          <w:rFonts w:ascii="宋体" w:hAnsi="宋体" w:cs="宋体"/>
          <w:b/>
          <w:sz w:val="24"/>
        </w:rPr>
      </w:pPr>
    </w:p>
    <w:p w14:paraId="71948640">
      <w:pPr>
        <w:rPr>
          <w:rFonts w:ascii="宋体" w:hAnsi="宋体" w:cs="宋体"/>
          <w:b/>
          <w:sz w:val="24"/>
        </w:rPr>
      </w:pPr>
      <w:r>
        <w:rPr>
          <w:rFonts w:hint="eastAsia" w:ascii="宋体" w:hAnsi="宋体" w:cs="宋体"/>
          <w:b/>
          <w:sz w:val="24"/>
        </w:rPr>
        <w:br w:type="page"/>
      </w:r>
    </w:p>
    <w:bookmarkEnd w:id="107"/>
    <w:bookmarkEnd w:id="108"/>
    <w:p w14:paraId="51D01FAF">
      <w:pPr>
        <w:spacing w:line="360" w:lineRule="auto"/>
        <w:jc w:val="center"/>
        <w:outlineLvl w:val="1"/>
        <w:rPr>
          <w:rFonts w:ascii="宋体" w:hAnsi="宋体" w:cs="宋体"/>
          <w:b/>
          <w:sz w:val="24"/>
        </w:rPr>
      </w:pPr>
      <w:r>
        <w:rPr>
          <w:rFonts w:hint="eastAsia" w:ascii="宋体" w:hAnsi="宋体" w:cs="宋体"/>
          <w:b/>
          <w:sz w:val="24"/>
        </w:rPr>
        <w:t>十一、报价表</w:t>
      </w:r>
    </w:p>
    <w:p w14:paraId="7977DBC8">
      <w:pPr>
        <w:spacing w:line="360" w:lineRule="auto"/>
        <w:outlineLvl w:val="1"/>
        <w:rPr>
          <w:rFonts w:ascii="宋体" w:hAnsi="宋体" w:cs="宋体"/>
          <w:b/>
          <w:sz w:val="24"/>
        </w:rPr>
      </w:pP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19C3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3976551">
            <w:pPr>
              <w:spacing w:line="360" w:lineRule="auto"/>
              <w:jc w:val="center"/>
              <w:rPr>
                <w:rFonts w:ascii="宋体" w:hAnsi="宋体" w:cs="宋体"/>
                <w:b/>
                <w:sz w:val="24"/>
              </w:rPr>
            </w:pPr>
            <w:r>
              <w:rPr>
                <w:rFonts w:hint="eastAsia" w:ascii="宋体" w:hAnsi="宋体" w:cs="宋体"/>
                <w:b/>
                <w:sz w:val="24"/>
              </w:rPr>
              <w:t>供应商名称</w:t>
            </w:r>
          </w:p>
        </w:tc>
        <w:tc>
          <w:tcPr>
            <w:tcW w:w="3557" w:type="pct"/>
            <w:tcBorders>
              <w:left w:val="single" w:color="auto" w:sz="4" w:space="0"/>
            </w:tcBorders>
            <w:vAlign w:val="center"/>
          </w:tcPr>
          <w:p w14:paraId="1F5E3209">
            <w:pPr>
              <w:spacing w:line="360" w:lineRule="auto"/>
              <w:rPr>
                <w:rFonts w:ascii="宋体" w:hAnsi="宋体" w:cs="宋体"/>
                <w:b/>
                <w:sz w:val="24"/>
              </w:rPr>
            </w:pPr>
          </w:p>
        </w:tc>
      </w:tr>
      <w:tr w14:paraId="634C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EEBCC49">
            <w:pPr>
              <w:spacing w:line="360" w:lineRule="exact"/>
              <w:jc w:val="center"/>
              <w:rPr>
                <w:rFonts w:ascii="宋体" w:hAnsi="宋体" w:cs="宋体"/>
                <w:b/>
                <w:sz w:val="24"/>
              </w:rPr>
            </w:pPr>
            <w:r>
              <w:rPr>
                <w:rFonts w:hint="eastAsia" w:ascii="宋体" w:hAnsi="宋体" w:cs="宋体"/>
                <w:b/>
                <w:sz w:val="24"/>
              </w:rPr>
              <w:t>发包范围</w:t>
            </w:r>
          </w:p>
        </w:tc>
        <w:tc>
          <w:tcPr>
            <w:tcW w:w="3557" w:type="pct"/>
            <w:tcBorders>
              <w:left w:val="single" w:color="auto" w:sz="4" w:space="0"/>
            </w:tcBorders>
            <w:vAlign w:val="center"/>
          </w:tcPr>
          <w:p w14:paraId="32CBDC27">
            <w:pPr>
              <w:widowControl/>
              <w:spacing w:line="360" w:lineRule="exact"/>
              <w:rPr>
                <w:rFonts w:ascii="宋体" w:hAnsi="宋体" w:cs="宋体"/>
                <w:b/>
                <w:sz w:val="24"/>
              </w:rPr>
            </w:pPr>
            <w:r>
              <w:rPr>
                <w:rFonts w:hint="eastAsia" w:ascii="宋体" w:hAnsi="宋体" w:cs="宋体"/>
                <w:sz w:val="24"/>
                <w:szCs w:val="28"/>
              </w:rPr>
              <w:t>全部 / 第包</w:t>
            </w:r>
          </w:p>
        </w:tc>
      </w:tr>
      <w:tr w14:paraId="20D0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3C377E4F">
            <w:pPr>
              <w:spacing w:line="360" w:lineRule="auto"/>
              <w:jc w:val="center"/>
              <w:rPr>
                <w:rFonts w:ascii="宋体" w:hAnsi="宋体" w:cs="宋体"/>
                <w:b/>
                <w:sz w:val="24"/>
              </w:rPr>
            </w:pPr>
            <w:r>
              <w:rPr>
                <w:rFonts w:hint="eastAsia" w:ascii="宋体" w:hAnsi="宋体" w:cs="宋体"/>
                <w:b/>
                <w:sz w:val="24"/>
              </w:rPr>
              <w:t>报价</w:t>
            </w:r>
          </w:p>
          <w:p w14:paraId="0D24FD20">
            <w:pPr>
              <w:spacing w:line="360" w:lineRule="auto"/>
              <w:jc w:val="center"/>
              <w:rPr>
                <w:rFonts w:ascii="宋体" w:hAnsi="宋体" w:cs="宋体"/>
                <w:b/>
                <w:sz w:val="24"/>
              </w:rPr>
            </w:pPr>
            <w:r>
              <w:rPr>
                <w:rFonts w:hint="eastAsia" w:ascii="宋体" w:hAnsi="宋体" w:cs="宋体"/>
                <w:b/>
                <w:sz w:val="24"/>
              </w:rPr>
              <w:t>（详见备注说明）</w:t>
            </w:r>
          </w:p>
        </w:tc>
        <w:tc>
          <w:tcPr>
            <w:tcW w:w="3557" w:type="pct"/>
            <w:vAlign w:val="center"/>
          </w:tcPr>
          <w:p w14:paraId="6542092F">
            <w:pPr>
              <w:snapToGrid w:val="0"/>
              <w:spacing w:line="360" w:lineRule="auto"/>
              <w:rPr>
                <w:rFonts w:ascii="宋体" w:hAnsi="宋体" w:cs="宋体"/>
                <w:sz w:val="24"/>
                <w:szCs w:val="28"/>
              </w:rPr>
            </w:pPr>
          </w:p>
          <w:p w14:paraId="181D7165">
            <w:pPr>
              <w:snapToGrid w:val="0"/>
              <w:spacing w:line="360" w:lineRule="auto"/>
              <w:jc w:val="left"/>
              <w:rPr>
                <w:rFonts w:ascii="宋体" w:hAnsi="宋体" w:cs="宋体"/>
                <w:bCs/>
                <w:sz w:val="24"/>
                <w:szCs w:val="24"/>
                <w:u w:val="single"/>
              </w:rPr>
            </w:pPr>
            <w:r>
              <w:rPr>
                <w:rFonts w:hint="eastAsia" w:ascii="宋体" w:hAnsi="宋体" w:cs="宋体"/>
                <w:bCs/>
                <w:sz w:val="24"/>
                <w:szCs w:val="24"/>
              </w:rPr>
              <w:t>大写：</w:t>
            </w:r>
          </w:p>
          <w:p w14:paraId="40741B38">
            <w:pPr>
              <w:spacing w:line="360" w:lineRule="auto"/>
              <w:ind w:right="-670"/>
              <w:rPr>
                <w:rFonts w:ascii="宋体" w:hAnsi="宋体" w:cs="宋体"/>
                <w:sz w:val="24"/>
              </w:rPr>
            </w:pPr>
            <w:r>
              <w:rPr>
                <w:rFonts w:hint="eastAsia" w:ascii="宋体" w:hAnsi="宋体" w:cs="宋体"/>
                <w:bCs/>
                <w:sz w:val="24"/>
                <w:szCs w:val="24"/>
              </w:rPr>
              <w:t>小写：</w:t>
            </w:r>
          </w:p>
          <w:p w14:paraId="386F3397">
            <w:pPr>
              <w:snapToGrid w:val="0"/>
              <w:spacing w:line="360" w:lineRule="auto"/>
              <w:rPr>
                <w:rFonts w:ascii="宋体" w:hAnsi="宋体" w:cs="宋体"/>
                <w:b/>
                <w:sz w:val="24"/>
              </w:rPr>
            </w:pPr>
          </w:p>
        </w:tc>
      </w:tr>
      <w:tr w14:paraId="728F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2F433466">
            <w:pPr>
              <w:spacing w:line="360" w:lineRule="auto"/>
              <w:jc w:val="center"/>
              <w:rPr>
                <w:rFonts w:ascii="宋体" w:hAnsi="宋体" w:cs="宋体"/>
                <w:b/>
                <w:sz w:val="24"/>
              </w:rPr>
            </w:pPr>
            <w:r>
              <w:rPr>
                <w:rFonts w:hint="eastAsia" w:ascii="宋体" w:hAnsi="宋体" w:cs="宋体"/>
                <w:b/>
                <w:sz w:val="24"/>
              </w:rPr>
              <w:t>备注说明</w:t>
            </w:r>
          </w:p>
        </w:tc>
        <w:tc>
          <w:tcPr>
            <w:tcW w:w="3557" w:type="pct"/>
            <w:vAlign w:val="center"/>
          </w:tcPr>
          <w:p w14:paraId="42526D35">
            <w:pPr>
              <w:spacing w:line="360" w:lineRule="auto"/>
              <w:rPr>
                <w:rFonts w:ascii="宋体" w:hAnsi="宋体" w:cs="宋体"/>
                <w:b/>
                <w:sz w:val="24"/>
              </w:rPr>
            </w:pPr>
          </w:p>
        </w:tc>
      </w:tr>
    </w:tbl>
    <w:p w14:paraId="416298F2">
      <w:pPr>
        <w:spacing w:line="360" w:lineRule="auto"/>
        <w:ind w:firstLine="4800" w:firstLineChars="2000"/>
        <w:rPr>
          <w:rFonts w:ascii="宋体" w:hAnsi="宋体" w:cs="宋体"/>
          <w:sz w:val="24"/>
        </w:rPr>
      </w:pPr>
    </w:p>
    <w:p w14:paraId="0482264B">
      <w:pPr>
        <w:spacing w:line="360" w:lineRule="auto"/>
        <w:ind w:firstLine="4800" w:firstLineChars="2000"/>
        <w:rPr>
          <w:rFonts w:ascii="宋体" w:hAnsi="宋体" w:cs="宋体"/>
          <w:sz w:val="24"/>
        </w:rPr>
      </w:pPr>
      <w:r>
        <w:rPr>
          <w:rFonts w:hint="eastAsia" w:ascii="宋体" w:hAnsi="宋体" w:cs="宋体"/>
          <w:sz w:val="24"/>
        </w:rPr>
        <w:t>供应商盖章：</w:t>
      </w:r>
    </w:p>
    <w:p w14:paraId="150F7B22">
      <w:pPr>
        <w:spacing w:line="360" w:lineRule="auto"/>
        <w:ind w:firstLine="4800" w:firstLineChars="2000"/>
        <w:rPr>
          <w:rFonts w:ascii="宋体" w:hAnsi="宋体" w:cs="宋体"/>
          <w:sz w:val="24"/>
          <w:u w:val="single"/>
        </w:rPr>
      </w:pPr>
      <w:r>
        <w:rPr>
          <w:rFonts w:hint="eastAsia" w:ascii="宋体" w:hAnsi="宋体" w:cs="宋体"/>
          <w:sz w:val="24"/>
        </w:rPr>
        <w:t>日          期：</w:t>
      </w:r>
    </w:p>
    <w:p w14:paraId="498BFC8B">
      <w:pPr>
        <w:adjustRightInd w:val="0"/>
        <w:snapToGrid w:val="0"/>
        <w:spacing w:line="360" w:lineRule="auto"/>
        <w:rPr>
          <w:rFonts w:ascii="宋体" w:hAnsi="宋体" w:cs="宋体"/>
          <w:b/>
          <w:bCs/>
          <w:sz w:val="24"/>
          <w:szCs w:val="28"/>
        </w:rPr>
      </w:pPr>
    </w:p>
    <w:p w14:paraId="2A0BAE9C">
      <w:pPr>
        <w:adjustRightInd w:val="0"/>
        <w:snapToGrid w:val="0"/>
        <w:spacing w:line="360" w:lineRule="auto"/>
        <w:rPr>
          <w:rFonts w:ascii="宋体" w:hAnsi="宋体" w:cs="宋体"/>
          <w:b/>
          <w:bCs/>
          <w:sz w:val="24"/>
          <w:szCs w:val="28"/>
        </w:rPr>
      </w:pPr>
      <w:r>
        <w:rPr>
          <w:rFonts w:hint="eastAsia" w:ascii="宋体" w:hAnsi="宋体" w:cs="宋体"/>
          <w:b/>
          <w:bCs/>
          <w:sz w:val="24"/>
          <w:szCs w:val="28"/>
        </w:rPr>
        <w:t>注：</w:t>
      </w:r>
    </w:p>
    <w:p w14:paraId="2AF0A35F">
      <w:pPr>
        <w:adjustRightInd w:val="0"/>
        <w:snapToGrid w:val="0"/>
        <w:spacing w:line="360" w:lineRule="auto"/>
        <w:ind w:firstLine="480" w:firstLineChars="200"/>
        <w:rPr>
          <w:rFonts w:ascii="宋体" w:hAnsi="宋体" w:cs="宋体"/>
          <w:sz w:val="24"/>
        </w:rPr>
      </w:pPr>
      <w:r>
        <w:rPr>
          <w:rFonts w:hint="eastAsia" w:ascii="宋体" w:hAnsi="宋体" w:cs="宋体"/>
          <w:sz w:val="24"/>
          <w:szCs w:val="28"/>
        </w:rPr>
        <w:t>1.本表内容根据发包文件要求包括了服务及其配套的设计、采购、制造、试验、运输、保险、仓储、税费以及现场落地、安装及安装耗损、调试、培训、技术服务（包括技术资料、图纸的提供）质保期内的售后服务保障等所有费用。</w:t>
      </w:r>
    </w:p>
    <w:p w14:paraId="7B59FD62">
      <w:pPr>
        <w:adjustRightInd w:val="0"/>
        <w:snapToGrid w:val="0"/>
        <w:spacing w:line="360" w:lineRule="auto"/>
        <w:ind w:firstLine="480" w:firstLineChars="200"/>
        <w:rPr>
          <w:rFonts w:ascii="宋体" w:hAnsi="宋体" w:cs="宋体"/>
          <w:sz w:val="24"/>
          <w:szCs w:val="28"/>
        </w:rPr>
      </w:pPr>
      <w:r>
        <w:rPr>
          <w:rFonts w:hint="eastAsia" w:ascii="宋体" w:hAnsi="宋体" w:cs="宋体"/>
          <w:sz w:val="24"/>
          <w:szCs w:val="28"/>
        </w:rPr>
        <w:t>2.特殊事项在备注中注明。</w:t>
      </w:r>
    </w:p>
    <w:p w14:paraId="1E2F451A">
      <w:pPr>
        <w:adjustRightInd w:val="0"/>
        <w:snapToGrid w:val="0"/>
        <w:spacing w:line="360" w:lineRule="auto"/>
        <w:ind w:firstLine="480" w:firstLineChars="200"/>
        <w:rPr>
          <w:rFonts w:ascii="宋体" w:hAnsi="宋体" w:cs="宋体"/>
          <w:sz w:val="24"/>
          <w:szCs w:val="28"/>
        </w:rPr>
      </w:pPr>
      <w:r>
        <w:rPr>
          <w:rFonts w:hint="eastAsia" w:ascii="宋体" w:hAnsi="宋体" w:cs="宋体"/>
          <w:sz w:val="24"/>
          <w:szCs w:val="28"/>
        </w:rPr>
        <w:t>3.表中大写金额与小写金额不一致的，以大写金额为准。</w:t>
      </w:r>
    </w:p>
    <w:p w14:paraId="637ED546">
      <w:pPr>
        <w:spacing w:line="360" w:lineRule="auto"/>
        <w:ind w:firstLine="435"/>
        <w:rPr>
          <w:rFonts w:ascii="宋体" w:hAnsi="宋体" w:cs="宋体"/>
          <w:sz w:val="24"/>
        </w:rPr>
      </w:pPr>
      <w:r>
        <w:rPr>
          <w:rFonts w:hint="eastAsia" w:ascii="宋体" w:hAnsi="宋体" w:cs="宋体"/>
          <w:sz w:val="24"/>
        </w:rPr>
        <w:br w:type="page"/>
      </w:r>
    </w:p>
    <w:p w14:paraId="63DF5E2D">
      <w:pPr>
        <w:spacing w:beforeLines="50" w:afterLines="50" w:line="360" w:lineRule="auto"/>
        <w:jc w:val="center"/>
        <w:outlineLvl w:val="2"/>
        <w:rPr>
          <w:rFonts w:ascii="宋体" w:hAnsi="宋体" w:cs="宋体"/>
          <w:b/>
          <w:sz w:val="24"/>
          <w:szCs w:val="28"/>
        </w:rPr>
      </w:pPr>
      <w:bookmarkStart w:id="124" w:name="_Toc31027"/>
      <w:bookmarkStart w:id="125" w:name="_Toc32226"/>
      <w:r>
        <w:rPr>
          <w:rFonts w:hint="eastAsia" w:ascii="宋体" w:hAnsi="宋体" w:cs="宋体"/>
          <w:b/>
          <w:sz w:val="24"/>
        </w:rPr>
        <w:t>十二、</w:t>
      </w:r>
      <w:bookmarkEnd w:id="124"/>
      <w:bookmarkEnd w:id="125"/>
      <w:r>
        <w:rPr>
          <w:rFonts w:hint="eastAsia" w:ascii="宋体" w:hAnsi="宋体" w:cs="宋体"/>
          <w:b/>
          <w:sz w:val="24"/>
          <w:szCs w:val="28"/>
        </w:rPr>
        <w:t>分项报价明细表</w:t>
      </w:r>
    </w:p>
    <w:tbl>
      <w:tblPr>
        <w:tblStyle w:val="24"/>
        <w:tblW w:w="51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247"/>
        <w:gridCol w:w="1131"/>
        <w:gridCol w:w="1529"/>
        <w:gridCol w:w="646"/>
        <w:gridCol w:w="756"/>
        <w:gridCol w:w="837"/>
        <w:gridCol w:w="938"/>
        <w:gridCol w:w="818"/>
      </w:tblGrid>
      <w:tr w14:paraId="6C19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noWrap/>
            <w:vAlign w:val="center"/>
          </w:tcPr>
          <w:p w14:paraId="76F6AB67">
            <w:pPr>
              <w:pStyle w:val="45"/>
              <w:widowControl w:val="0"/>
              <w:spacing w:before="0" w:beforeAutospacing="0" w:after="0" w:afterAutospacing="0" w:line="360" w:lineRule="auto"/>
              <w:rPr>
                <w:rFonts w:ascii="宋体" w:hAnsi="宋体" w:cs="宋体"/>
                <w:bCs w:val="0"/>
                <w:kern w:val="2"/>
                <w:sz w:val="24"/>
                <w:szCs w:val="20"/>
              </w:rPr>
            </w:pPr>
            <w:r>
              <w:rPr>
                <w:rFonts w:hint="eastAsia" w:ascii="宋体" w:hAnsi="宋体" w:cs="宋体"/>
                <w:bCs w:val="0"/>
                <w:kern w:val="2"/>
                <w:sz w:val="24"/>
                <w:szCs w:val="20"/>
              </w:rPr>
              <w:t>序号</w:t>
            </w:r>
          </w:p>
        </w:tc>
        <w:tc>
          <w:tcPr>
            <w:tcW w:w="709" w:type="pct"/>
            <w:noWrap/>
            <w:vAlign w:val="center"/>
          </w:tcPr>
          <w:p w14:paraId="0314068C">
            <w:pPr>
              <w:spacing w:line="360" w:lineRule="auto"/>
              <w:jc w:val="center"/>
              <w:rPr>
                <w:rFonts w:ascii="宋体" w:hAnsi="宋体" w:cs="宋体"/>
                <w:b/>
                <w:sz w:val="24"/>
              </w:rPr>
            </w:pPr>
            <w:r>
              <w:rPr>
                <w:rFonts w:hint="eastAsia" w:ascii="宋体" w:hAnsi="宋体" w:cs="宋体"/>
                <w:b/>
                <w:sz w:val="24"/>
              </w:rPr>
              <w:t>货物名称</w:t>
            </w:r>
          </w:p>
        </w:tc>
        <w:tc>
          <w:tcPr>
            <w:tcW w:w="642" w:type="pct"/>
            <w:noWrap/>
            <w:vAlign w:val="center"/>
          </w:tcPr>
          <w:p w14:paraId="5B1F2AB6">
            <w:pPr>
              <w:spacing w:line="360" w:lineRule="auto"/>
              <w:jc w:val="center"/>
              <w:rPr>
                <w:rFonts w:ascii="宋体" w:hAnsi="宋体" w:cs="宋体"/>
                <w:b/>
                <w:sz w:val="24"/>
              </w:rPr>
            </w:pPr>
            <w:r>
              <w:rPr>
                <w:rFonts w:hint="eastAsia" w:ascii="宋体" w:hAnsi="宋体" w:cs="宋体"/>
                <w:b/>
                <w:sz w:val="24"/>
              </w:rPr>
              <w:t>品牌、型</w:t>
            </w:r>
          </w:p>
          <w:p w14:paraId="7C5155FA">
            <w:pPr>
              <w:spacing w:line="360" w:lineRule="auto"/>
              <w:jc w:val="center"/>
              <w:rPr>
                <w:rFonts w:ascii="宋体" w:hAnsi="宋体" w:cs="宋体"/>
                <w:b/>
                <w:sz w:val="24"/>
              </w:rPr>
            </w:pPr>
            <w:r>
              <w:rPr>
                <w:rFonts w:hint="eastAsia" w:ascii="宋体" w:hAnsi="宋体" w:cs="宋体"/>
                <w:b/>
                <w:sz w:val="24"/>
              </w:rPr>
              <w:t>号</w:t>
            </w:r>
          </w:p>
        </w:tc>
        <w:tc>
          <w:tcPr>
            <w:tcW w:w="869" w:type="pct"/>
            <w:noWrap/>
            <w:vAlign w:val="center"/>
          </w:tcPr>
          <w:p w14:paraId="6EB60412">
            <w:pPr>
              <w:spacing w:line="360" w:lineRule="auto"/>
              <w:jc w:val="center"/>
              <w:rPr>
                <w:rFonts w:ascii="宋体" w:hAnsi="宋体" w:cs="宋体"/>
                <w:b/>
                <w:sz w:val="24"/>
              </w:rPr>
            </w:pPr>
            <w:r>
              <w:rPr>
                <w:rFonts w:hint="eastAsia" w:ascii="宋体" w:hAnsi="宋体" w:cs="宋体"/>
                <w:b/>
                <w:sz w:val="24"/>
              </w:rPr>
              <w:t>原产地及</w:t>
            </w:r>
          </w:p>
          <w:p w14:paraId="6785BE59">
            <w:pPr>
              <w:spacing w:line="360" w:lineRule="auto"/>
              <w:jc w:val="center"/>
              <w:rPr>
                <w:rFonts w:ascii="宋体" w:hAnsi="宋体" w:cs="宋体"/>
                <w:b/>
                <w:sz w:val="24"/>
              </w:rPr>
            </w:pPr>
            <w:r>
              <w:rPr>
                <w:rFonts w:hint="eastAsia" w:ascii="宋体" w:hAnsi="宋体" w:cs="宋体"/>
                <w:b/>
                <w:sz w:val="24"/>
              </w:rPr>
              <w:t>生产厂商</w:t>
            </w:r>
          </w:p>
        </w:tc>
        <w:tc>
          <w:tcPr>
            <w:tcW w:w="367" w:type="pct"/>
            <w:noWrap/>
            <w:vAlign w:val="center"/>
          </w:tcPr>
          <w:p w14:paraId="1CEF877F">
            <w:pPr>
              <w:spacing w:line="360" w:lineRule="auto"/>
              <w:jc w:val="center"/>
              <w:rPr>
                <w:rFonts w:ascii="宋体" w:hAnsi="宋体" w:cs="宋体"/>
                <w:b/>
                <w:sz w:val="24"/>
              </w:rPr>
            </w:pPr>
            <w:r>
              <w:rPr>
                <w:rFonts w:hint="eastAsia" w:ascii="宋体" w:hAnsi="宋体" w:cs="宋体"/>
                <w:b/>
                <w:sz w:val="24"/>
              </w:rPr>
              <w:t>单位</w:t>
            </w:r>
          </w:p>
        </w:tc>
        <w:tc>
          <w:tcPr>
            <w:tcW w:w="430" w:type="pct"/>
            <w:noWrap/>
            <w:vAlign w:val="center"/>
          </w:tcPr>
          <w:p w14:paraId="0B9C674B">
            <w:pPr>
              <w:spacing w:line="360" w:lineRule="auto"/>
              <w:jc w:val="center"/>
              <w:rPr>
                <w:rFonts w:ascii="宋体" w:hAnsi="宋体" w:cs="宋体"/>
                <w:b/>
                <w:sz w:val="24"/>
              </w:rPr>
            </w:pPr>
            <w:r>
              <w:rPr>
                <w:rFonts w:hint="eastAsia" w:ascii="宋体" w:hAnsi="宋体" w:cs="宋体"/>
                <w:b/>
                <w:sz w:val="24"/>
              </w:rPr>
              <w:t>数量</w:t>
            </w:r>
          </w:p>
        </w:tc>
        <w:tc>
          <w:tcPr>
            <w:tcW w:w="476" w:type="pct"/>
            <w:noWrap/>
            <w:vAlign w:val="center"/>
          </w:tcPr>
          <w:p w14:paraId="52CF5865">
            <w:pPr>
              <w:spacing w:line="360" w:lineRule="auto"/>
              <w:jc w:val="center"/>
              <w:rPr>
                <w:rFonts w:ascii="宋体" w:hAnsi="宋体" w:cs="宋体"/>
                <w:b/>
                <w:sz w:val="24"/>
              </w:rPr>
            </w:pPr>
            <w:r>
              <w:rPr>
                <w:rFonts w:hint="eastAsia" w:ascii="宋体" w:hAnsi="宋体" w:cs="宋体"/>
                <w:b/>
                <w:sz w:val="24"/>
              </w:rPr>
              <w:t>单价</w:t>
            </w:r>
          </w:p>
          <w:p w14:paraId="2FB58758">
            <w:pPr>
              <w:spacing w:line="360" w:lineRule="auto"/>
              <w:jc w:val="center"/>
              <w:rPr>
                <w:rFonts w:ascii="宋体" w:hAnsi="宋体" w:cs="宋体"/>
                <w:b/>
                <w:sz w:val="24"/>
              </w:rPr>
            </w:pPr>
            <w:r>
              <w:rPr>
                <w:rFonts w:hint="eastAsia" w:ascii="宋体" w:hAnsi="宋体" w:cs="宋体"/>
                <w:b/>
                <w:sz w:val="24"/>
              </w:rPr>
              <w:t>（元）</w:t>
            </w:r>
          </w:p>
        </w:tc>
        <w:tc>
          <w:tcPr>
            <w:tcW w:w="533" w:type="pct"/>
            <w:noWrap/>
            <w:vAlign w:val="center"/>
          </w:tcPr>
          <w:p w14:paraId="5C597DC8">
            <w:pPr>
              <w:spacing w:line="360" w:lineRule="auto"/>
              <w:jc w:val="center"/>
              <w:rPr>
                <w:rFonts w:ascii="宋体" w:hAnsi="宋体" w:cs="宋体"/>
                <w:b/>
                <w:sz w:val="24"/>
              </w:rPr>
            </w:pPr>
            <w:r>
              <w:rPr>
                <w:rFonts w:hint="eastAsia" w:ascii="宋体" w:hAnsi="宋体" w:cs="宋体"/>
                <w:b/>
                <w:sz w:val="24"/>
              </w:rPr>
              <w:t>小计</w:t>
            </w:r>
          </w:p>
          <w:p w14:paraId="4C0C86E9">
            <w:pPr>
              <w:spacing w:line="360" w:lineRule="auto"/>
              <w:jc w:val="center"/>
              <w:rPr>
                <w:rFonts w:ascii="宋体" w:hAnsi="宋体" w:cs="宋体"/>
                <w:b/>
                <w:sz w:val="24"/>
              </w:rPr>
            </w:pPr>
            <w:r>
              <w:rPr>
                <w:rFonts w:hint="eastAsia" w:ascii="宋体" w:hAnsi="宋体" w:cs="宋体"/>
                <w:b/>
                <w:sz w:val="24"/>
              </w:rPr>
              <w:t>（元）</w:t>
            </w:r>
          </w:p>
        </w:tc>
        <w:tc>
          <w:tcPr>
            <w:tcW w:w="462" w:type="pct"/>
            <w:noWrap/>
            <w:vAlign w:val="center"/>
          </w:tcPr>
          <w:p w14:paraId="287815D9">
            <w:pPr>
              <w:spacing w:line="360" w:lineRule="auto"/>
              <w:jc w:val="center"/>
              <w:rPr>
                <w:rFonts w:ascii="宋体" w:hAnsi="宋体" w:cs="宋体"/>
                <w:b/>
                <w:sz w:val="24"/>
              </w:rPr>
            </w:pPr>
            <w:r>
              <w:rPr>
                <w:rFonts w:hint="eastAsia" w:ascii="宋体" w:hAnsi="宋体" w:cs="宋体"/>
                <w:b/>
                <w:sz w:val="24"/>
              </w:rPr>
              <w:t>备注</w:t>
            </w:r>
          </w:p>
        </w:tc>
      </w:tr>
      <w:tr w14:paraId="3B8A0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tcBorders>
              <w:bottom w:val="single" w:color="auto" w:sz="4" w:space="0"/>
            </w:tcBorders>
            <w:noWrap/>
            <w:vAlign w:val="center"/>
          </w:tcPr>
          <w:p w14:paraId="29170A93">
            <w:pPr>
              <w:spacing w:line="360" w:lineRule="auto"/>
              <w:jc w:val="center"/>
              <w:rPr>
                <w:rFonts w:ascii="宋体" w:hAnsi="宋体" w:cs="宋体"/>
                <w:sz w:val="24"/>
              </w:rPr>
            </w:pPr>
            <w:r>
              <w:rPr>
                <w:rFonts w:hint="eastAsia" w:ascii="宋体" w:hAnsi="宋体" w:cs="宋体"/>
                <w:sz w:val="24"/>
              </w:rPr>
              <w:t>1</w:t>
            </w:r>
          </w:p>
        </w:tc>
        <w:tc>
          <w:tcPr>
            <w:tcW w:w="709" w:type="pct"/>
            <w:noWrap/>
            <w:vAlign w:val="center"/>
          </w:tcPr>
          <w:p w14:paraId="3BAF9FDC">
            <w:pPr>
              <w:spacing w:line="360" w:lineRule="auto"/>
              <w:rPr>
                <w:rFonts w:ascii="宋体" w:hAnsi="宋体" w:cs="宋体"/>
                <w:sz w:val="24"/>
              </w:rPr>
            </w:pPr>
          </w:p>
        </w:tc>
        <w:tc>
          <w:tcPr>
            <w:tcW w:w="642" w:type="pct"/>
            <w:noWrap/>
            <w:vAlign w:val="center"/>
          </w:tcPr>
          <w:p w14:paraId="73CA3EAB">
            <w:pPr>
              <w:spacing w:line="360" w:lineRule="auto"/>
              <w:rPr>
                <w:rFonts w:ascii="宋体" w:hAnsi="宋体" w:cs="宋体"/>
                <w:sz w:val="24"/>
              </w:rPr>
            </w:pPr>
          </w:p>
        </w:tc>
        <w:tc>
          <w:tcPr>
            <w:tcW w:w="869" w:type="pct"/>
            <w:noWrap/>
            <w:vAlign w:val="center"/>
          </w:tcPr>
          <w:p w14:paraId="6A321096">
            <w:pPr>
              <w:spacing w:line="360" w:lineRule="auto"/>
              <w:rPr>
                <w:rFonts w:ascii="宋体" w:hAnsi="宋体" w:cs="宋体"/>
                <w:sz w:val="24"/>
              </w:rPr>
            </w:pPr>
          </w:p>
        </w:tc>
        <w:tc>
          <w:tcPr>
            <w:tcW w:w="367" w:type="pct"/>
            <w:noWrap/>
            <w:vAlign w:val="center"/>
          </w:tcPr>
          <w:p w14:paraId="6F20F623">
            <w:pPr>
              <w:spacing w:line="360" w:lineRule="auto"/>
              <w:rPr>
                <w:rFonts w:ascii="宋体" w:hAnsi="宋体" w:cs="宋体"/>
                <w:sz w:val="24"/>
              </w:rPr>
            </w:pPr>
          </w:p>
        </w:tc>
        <w:tc>
          <w:tcPr>
            <w:tcW w:w="430" w:type="pct"/>
            <w:noWrap/>
            <w:vAlign w:val="center"/>
          </w:tcPr>
          <w:p w14:paraId="2A8F2D1D">
            <w:pPr>
              <w:spacing w:line="360" w:lineRule="auto"/>
              <w:rPr>
                <w:rFonts w:ascii="宋体" w:hAnsi="宋体" w:cs="宋体"/>
                <w:sz w:val="24"/>
              </w:rPr>
            </w:pPr>
          </w:p>
        </w:tc>
        <w:tc>
          <w:tcPr>
            <w:tcW w:w="476" w:type="pct"/>
            <w:noWrap/>
            <w:vAlign w:val="center"/>
          </w:tcPr>
          <w:p w14:paraId="05B3BC0F">
            <w:pPr>
              <w:spacing w:line="360" w:lineRule="auto"/>
              <w:rPr>
                <w:rFonts w:ascii="宋体" w:hAnsi="宋体" w:cs="宋体"/>
                <w:sz w:val="24"/>
              </w:rPr>
            </w:pPr>
          </w:p>
        </w:tc>
        <w:tc>
          <w:tcPr>
            <w:tcW w:w="533" w:type="pct"/>
            <w:noWrap/>
            <w:vAlign w:val="center"/>
          </w:tcPr>
          <w:p w14:paraId="5C391660">
            <w:pPr>
              <w:spacing w:line="360" w:lineRule="auto"/>
              <w:rPr>
                <w:rFonts w:ascii="宋体" w:hAnsi="宋体" w:cs="宋体"/>
                <w:sz w:val="24"/>
              </w:rPr>
            </w:pPr>
          </w:p>
        </w:tc>
        <w:tc>
          <w:tcPr>
            <w:tcW w:w="462" w:type="pct"/>
            <w:noWrap/>
            <w:vAlign w:val="center"/>
          </w:tcPr>
          <w:p w14:paraId="6BCAD623">
            <w:pPr>
              <w:spacing w:line="360" w:lineRule="auto"/>
              <w:rPr>
                <w:rFonts w:ascii="宋体" w:hAnsi="宋体" w:cs="宋体"/>
                <w:sz w:val="24"/>
              </w:rPr>
            </w:pPr>
          </w:p>
        </w:tc>
      </w:tr>
      <w:tr w14:paraId="3029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noWrap/>
            <w:vAlign w:val="center"/>
          </w:tcPr>
          <w:p w14:paraId="6E8B0FCE">
            <w:pPr>
              <w:spacing w:line="360" w:lineRule="auto"/>
              <w:jc w:val="center"/>
              <w:rPr>
                <w:rFonts w:ascii="宋体" w:hAnsi="宋体" w:cs="宋体"/>
                <w:sz w:val="24"/>
              </w:rPr>
            </w:pPr>
            <w:r>
              <w:rPr>
                <w:rFonts w:hint="eastAsia" w:ascii="宋体" w:hAnsi="宋体" w:cs="宋体"/>
                <w:sz w:val="24"/>
              </w:rPr>
              <w:t>2</w:t>
            </w:r>
          </w:p>
        </w:tc>
        <w:tc>
          <w:tcPr>
            <w:tcW w:w="709" w:type="pct"/>
            <w:noWrap/>
            <w:vAlign w:val="center"/>
          </w:tcPr>
          <w:p w14:paraId="406F96AB">
            <w:pPr>
              <w:spacing w:line="360" w:lineRule="auto"/>
              <w:rPr>
                <w:rFonts w:ascii="宋体" w:hAnsi="宋体" w:cs="宋体"/>
                <w:sz w:val="24"/>
              </w:rPr>
            </w:pPr>
          </w:p>
        </w:tc>
        <w:tc>
          <w:tcPr>
            <w:tcW w:w="642" w:type="pct"/>
            <w:noWrap/>
            <w:vAlign w:val="center"/>
          </w:tcPr>
          <w:p w14:paraId="5AAC1365">
            <w:pPr>
              <w:spacing w:line="360" w:lineRule="auto"/>
              <w:rPr>
                <w:rFonts w:ascii="宋体" w:hAnsi="宋体" w:cs="宋体"/>
                <w:sz w:val="24"/>
              </w:rPr>
            </w:pPr>
          </w:p>
        </w:tc>
        <w:tc>
          <w:tcPr>
            <w:tcW w:w="869" w:type="pct"/>
            <w:noWrap/>
            <w:vAlign w:val="center"/>
          </w:tcPr>
          <w:p w14:paraId="6FA09355">
            <w:pPr>
              <w:spacing w:line="360" w:lineRule="auto"/>
              <w:rPr>
                <w:rFonts w:ascii="宋体" w:hAnsi="宋体" w:cs="宋体"/>
                <w:sz w:val="24"/>
              </w:rPr>
            </w:pPr>
          </w:p>
        </w:tc>
        <w:tc>
          <w:tcPr>
            <w:tcW w:w="367" w:type="pct"/>
            <w:noWrap/>
            <w:vAlign w:val="center"/>
          </w:tcPr>
          <w:p w14:paraId="7AF05355">
            <w:pPr>
              <w:spacing w:line="360" w:lineRule="auto"/>
              <w:rPr>
                <w:rFonts w:ascii="宋体" w:hAnsi="宋体" w:cs="宋体"/>
                <w:sz w:val="24"/>
              </w:rPr>
            </w:pPr>
          </w:p>
        </w:tc>
        <w:tc>
          <w:tcPr>
            <w:tcW w:w="430" w:type="pct"/>
            <w:noWrap/>
            <w:vAlign w:val="center"/>
          </w:tcPr>
          <w:p w14:paraId="499FE86F">
            <w:pPr>
              <w:spacing w:line="360" w:lineRule="auto"/>
              <w:rPr>
                <w:rFonts w:ascii="宋体" w:hAnsi="宋体" w:cs="宋体"/>
                <w:sz w:val="24"/>
              </w:rPr>
            </w:pPr>
          </w:p>
        </w:tc>
        <w:tc>
          <w:tcPr>
            <w:tcW w:w="476" w:type="pct"/>
            <w:noWrap/>
            <w:vAlign w:val="center"/>
          </w:tcPr>
          <w:p w14:paraId="49249F0F">
            <w:pPr>
              <w:spacing w:line="360" w:lineRule="auto"/>
              <w:rPr>
                <w:rFonts w:ascii="宋体" w:hAnsi="宋体" w:cs="宋体"/>
                <w:sz w:val="24"/>
              </w:rPr>
            </w:pPr>
          </w:p>
        </w:tc>
        <w:tc>
          <w:tcPr>
            <w:tcW w:w="533" w:type="pct"/>
            <w:noWrap/>
            <w:vAlign w:val="center"/>
          </w:tcPr>
          <w:p w14:paraId="0B14EAA4">
            <w:pPr>
              <w:spacing w:line="360" w:lineRule="auto"/>
              <w:rPr>
                <w:rFonts w:ascii="宋体" w:hAnsi="宋体" w:cs="宋体"/>
                <w:sz w:val="24"/>
              </w:rPr>
            </w:pPr>
          </w:p>
        </w:tc>
        <w:tc>
          <w:tcPr>
            <w:tcW w:w="462" w:type="pct"/>
            <w:noWrap/>
            <w:vAlign w:val="center"/>
          </w:tcPr>
          <w:p w14:paraId="6DD5E356">
            <w:pPr>
              <w:spacing w:line="360" w:lineRule="auto"/>
              <w:rPr>
                <w:rFonts w:ascii="宋体" w:hAnsi="宋体" w:cs="宋体"/>
                <w:sz w:val="24"/>
              </w:rPr>
            </w:pPr>
          </w:p>
        </w:tc>
      </w:tr>
      <w:tr w14:paraId="787D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noWrap/>
            <w:vAlign w:val="center"/>
          </w:tcPr>
          <w:p w14:paraId="2CF3D67A">
            <w:pPr>
              <w:spacing w:line="360" w:lineRule="auto"/>
              <w:jc w:val="center"/>
              <w:rPr>
                <w:rFonts w:ascii="宋体" w:hAnsi="宋体" w:cs="宋体"/>
                <w:sz w:val="24"/>
              </w:rPr>
            </w:pPr>
            <w:r>
              <w:rPr>
                <w:rFonts w:hint="eastAsia" w:ascii="宋体" w:hAnsi="宋体" w:cs="宋体"/>
                <w:sz w:val="24"/>
              </w:rPr>
              <w:t>3</w:t>
            </w:r>
          </w:p>
        </w:tc>
        <w:tc>
          <w:tcPr>
            <w:tcW w:w="709" w:type="pct"/>
            <w:noWrap/>
            <w:vAlign w:val="center"/>
          </w:tcPr>
          <w:p w14:paraId="6E6537F9">
            <w:pPr>
              <w:spacing w:line="360" w:lineRule="auto"/>
              <w:rPr>
                <w:rFonts w:ascii="宋体" w:hAnsi="宋体" w:cs="宋体"/>
                <w:sz w:val="24"/>
              </w:rPr>
            </w:pPr>
          </w:p>
        </w:tc>
        <w:tc>
          <w:tcPr>
            <w:tcW w:w="642" w:type="pct"/>
            <w:noWrap/>
            <w:vAlign w:val="center"/>
          </w:tcPr>
          <w:p w14:paraId="5A093D41">
            <w:pPr>
              <w:spacing w:line="360" w:lineRule="auto"/>
              <w:rPr>
                <w:rFonts w:ascii="宋体" w:hAnsi="宋体" w:cs="宋体"/>
                <w:sz w:val="24"/>
              </w:rPr>
            </w:pPr>
          </w:p>
        </w:tc>
        <w:tc>
          <w:tcPr>
            <w:tcW w:w="869" w:type="pct"/>
            <w:noWrap/>
            <w:vAlign w:val="center"/>
          </w:tcPr>
          <w:p w14:paraId="6C8C9559">
            <w:pPr>
              <w:spacing w:line="360" w:lineRule="auto"/>
              <w:rPr>
                <w:rFonts w:ascii="宋体" w:hAnsi="宋体" w:cs="宋体"/>
                <w:sz w:val="24"/>
              </w:rPr>
            </w:pPr>
          </w:p>
        </w:tc>
        <w:tc>
          <w:tcPr>
            <w:tcW w:w="367" w:type="pct"/>
            <w:noWrap/>
            <w:vAlign w:val="center"/>
          </w:tcPr>
          <w:p w14:paraId="2C16B9F0">
            <w:pPr>
              <w:spacing w:line="360" w:lineRule="auto"/>
              <w:rPr>
                <w:rFonts w:ascii="宋体" w:hAnsi="宋体" w:cs="宋体"/>
                <w:sz w:val="24"/>
              </w:rPr>
            </w:pPr>
          </w:p>
        </w:tc>
        <w:tc>
          <w:tcPr>
            <w:tcW w:w="430" w:type="pct"/>
            <w:noWrap/>
            <w:vAlign w:val="center"/>
          </w:tcPr>
          <w:p w14:paraId="345B7061">
            <w:pPr>
              <w:spacing w:line="360" w:lineRule="auto"/>
              <w:rPr>
                <w:rFonts w:ascii="宋体" w:hAnsi="宋体" w:cs="宋体"/>
                <w:sz w:val="24"/>
              </w:rPr>
            </w:pPr>
          </w:p>
        </w:tc>
        <w:tc>
          <w:tcPr>
            <w:tcW w:w="476" w:type="pct"/>
            <w:noWrap/>
            <w:vAlign w:val="center"/>
          </w:tcPr>
          <w:p w14:paraId="650EFD0D">
            <w:pPr>
              <w:spacing w:line="360" w:lineRule="auto"/>
              <w:rPr>
                <w:rFonts w:ascii="宋体" w:hAnsi="宋体" w:cs="宋体"/>
                <w:sz w:val="24"/>
              </w:rPr>
            </w:pPr>
          </w:p>
        </w:tc>
        <w:tc>
          <w:tcPr>
            <w:tcW w:w="533" w:type="pct"/>
            <w:noWrap/>
            <w:vAlign w:val="center"/>
          </w:tcPr>
          <w:p w14:paraId="1799DC06">
            <w:pPr>
              <w:spacing w:line="360" w:lineRule="auto"/>
              <w:rPr>
                <w:rFonts w:ascii="宋体" w:hAnsi="宋体" w:cs="宋体"/>
                <w:sz w:val="24"/>
              </w:rPr>
            </w:pPr>
          </w:p>
        </w:tc>
        <w:tc>
          <w:tcPr>
            <w:tcW w:w="462" w:type="pct"/>
            <w:noWrap/>
            <w:vAlign w:val="center"/>
          </w:tcPr>
          <w:p w14:paraId="530DAF07">
            <w:pPr>
              <w:spacing w:line="360" w:lineRule="auto"/>
              <w:rPr>
                <w:rFonts w:ascii="宋体" w:hAnsi="宋体" w:cs="宋体"/>
                <w:sz w:val="24"/>
              </w:rPr>
            </w:pPr>
          </w:p>
        </w:tc>
      </w:tr>
      <w:tr w14:paraId="241F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noWrap/>
            <w:vAlign w:val="center"/>
          </w:tcPr>
          <w:p w14:paraId="4B888C22">
            <w:pPr>
              <w:spacing w:line="360" w:lineRule="auto"/>
              <w:jc w:val="center"/>
              <w:rPr>
                <w:rFonts w:ascii="宋体" w:hAnsi="宋体" w:cs="宋体"/>
                <w:sz w:val="24"/>
              </w:rPr>
            </w:pPr>
            <w:r>
              <w:rPr>
                <w:rFonts w:hint="eastAsia" w:ascii="宋体" w:hAnsi="宋体" w:cs="宋体"/>
                <w:sz w:val="24"/>
              </w:rPr>
              <w:t>…</w:t>
            </w:r>
          </w:p>
        </w:tc>
        <w:tc>
          <w:tcPr>
            <w:tcW w:w="709" w:type="pct"/>
            <w:noWrap/>
            <w:vAlign w:val="center"/>
          </w:tcPr>
          <w:p w14:paraId="2F80418F">
            <w:pPr>
              <w:spacing w:line="360" w:lineRule="auto"/>
              <w:rPr>
                <w:rFonts w:ascii="宋体" w:hAnsi="宋体" w:cs="宋体"/>
                <w:sz w:val="24"/>
              </w:rPr>
            </w:pPr>
          </w:p>
        </w:tc>
        <w:tc>
          <w:tcPr>
            <w:tcW w:w="642" w:type="pct"/>
            <w:noWrap/>
            <w:vAlign w:val="center"/>
          </w:tcPr>
          <w:p w14:paraId="7993BCFF">
            <w:pPr>
              <w:spacing w:line="360" w:lineRule="auto"/>
              <w:rPr>
                <w:rFonts w:ascii="宋体" w:hAnsi="宋体" w:cs="宋体"/>
                <w:sz w:val="24"/>
              </w:rPr>
            </w:pPr>
          </w:p>
        </w:tc>
        <w:tc>
          <w:tcPr>
            <w:tcW w:w="869" w:type="pct"/>
            <w:noWrap/>
            <w:vAlign w:val="center"/>
          </w:tcPr>
          <w:p w14:paraId="2FFE46EE">
            <w:pPr>
              <w:spacing w:line="360" w:lineRule="auto"/>
              <w:rPr>
                <w:rFonts w:ascii="宋体" w:hAnsi="宋体" w:cs="宋体"/>
                <w:sz w:val="24"/>
              </w:rPr>
            </w:pPr>
          </w:p>
        </w:tc>
        <w:tc>
          <w:tcPr>
            <w:tcW w:w="367" w:type="pct"/>
            <w:noWrap/>
            <w:vAlign w:val="center"/>
          </w:tcPr>
          <w:p w14:paraId="68248581">
            <w:pPr>
              <w:spacing w:line="360" w:lineRule="auto"/>
              <w:rPr>
                <w:rFonts w:ascii="宋体" w:hAnsi="宋体" w:cs="宋体"/>
                <w:sz w:val="24"/>
              </w:rPr>
            </w:pPr>
          </w:p>
        </w:tc>
        <w:tc>
          <w:tcPr>
            <w:tcW w:w="430" w:type="pct"/>
            <w:noWrap/>
            <w:vAlign w:val="center"/>
          </w:tcPr>
          <w:p w14:paraId="627F12FF">
            <w:pPr>
              <w:spacing w:line="360" w:lineRule="auto"/>
              <w:rPr>
                <w:rFonts w:ascii="宋体" w:hAnsi="宋体" w:cs="宋体"/>
                <w:sz w:val="24"/>
              </w:rPr>
            </w:pPr>
          </w:p>
        </w:tc>
        <w:tc>
          <w:tcPr>
            <w:tcW w:w="476" w:type="pct"/>
            <w:noWrap/>
            <w:vAlign w:val="center"/>
          </w:tcPr>
          <w:p w14:paraId="0419E288">
            <w:pPr>
              <w:spacing w:line="360" w:lineRule="auto"/>
              <w:rPr>
                <w:rFonts w:ascii="宋体" w:hAnsi="宋体" w:cs="宋体"/>
                <w:sz w:val="24"/>
              </w:rPr>
            </w:pPr>
          </w:p>
        </w:tc>
        <w:tc>
          <w:tcPr>
            <w:tcW w:w="533" w:type="pct"/>
            <w:noWrap/>
            <w:vAlign w:val="center"/>
          </w:tcPr>
          <w:p w14:paraId="48884BB4">
            <w:pPr>
              <w:spacing w:line="360" w:lineRule="auto"/>
              <w:rPr>
                <w:rFonts w:ascii="宋体" w:hAnsi="宋体" w:cs="宋体"/>
                <w:sz w:val="24"/>
              </w:rPr>
            </w:pPr>
          </w:p>
        </w:tc>
        <w:tc>
          <w:tcPr>
            <w:tcW w:w="462" w:type="pct"/>
            <w:noWrap/>
            <w:vAlign w:val="center"/>
          </w:tcPr>
          <w:p w14:paraId="69AC9E90">
            <w:pPr>
              <w:spacing w:line="360" w:lineRule="auto"/>
              <w:rPr>
                <w:rFonts w:ascii="宋体" w:hAnsi="宋体" w:cs="宋体"/>
                <w:sz w:val="24"/>
              </w:rPr>
            </w:pPr>
          </w:p>
        </w:tc>
      </w:tr>
      <w:tr w14:paraId="3128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00" w:type="pct"/>
            <w:gridSpan w:val="9"/>
            <w:noWrap/>
            <w:vAlign w:val="center"/>
          </w:tcPr>
          <w:p w14:paraId="5D55F463">
            <w:pPr>
              <w:spacing w:line="360" w:lineRule="auto"/>
              <w:jc w:val="left"/>
              <w:rPr>
                <w:rFonts w:ascii="宋体" w:hAnsi="宋体" w:cs="宋体"/>
                <w:sz w:val="24"/>
              </w:rPr>
            </w:pPr>
            <w:r>
              <w:rPr>
                <w:rFonts w:hint="eastAsia" w:ascii="宋体" w:hAnsi="宋体" w:cs="宋体"/>
                <w:b/>
                <w:bCs/>
                <w:sz w:val="24"/>
                <w:szCs w:val="22"/>
              </w:rPr>
              <w:t>其他费用</w:t>
            </w:r>
            <w:r>
              <w:rPr>
                <w:rFonts w:hint="eastAsia" w:ascii="宋体" w:hAnsi="宋体" w:cs="宋体"/>
                <w:sz w:val="24"/>
                <w:szCs w:val="22"/>
              </w:rPr>
              <w:t>（与货物配套有关服务等，供应商可自行制作格式，如无需可删除）</w:t>
            </w:r>
          </w:p>
        </w:tc>
      </w:tr>
      <w:tr w14:paraId="2EDA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noWrap/>
            <w:vAlign w:val="center"/>
          </w:tcPr>
          <w:p w14:paraId="39919665">
            <w:pPr>
              <w:spacing w:line="360" w:lineRule="auto"/>
              <w:jc w:val="center"/>
              <w:rPr>
                <w:rFonts w:ascii="宋体" w:hAnsi="宋体" w:cs="宋体"/>
                <w:b/>
                <w:sz w:val="24"/>
              </w:rPr>
            </w:pPr>
            <w:r>
              <w:rPr>
                <w:rFonts w:hint="eastAsia" w:ascii="宋体" w:hAnsi="宋体" w:cs="宋体"/>
                <w:b/>
                <w:sz w:val="24"/>
              </w:rPr>
              <w:t>序号</w:t>
            </w:r>
          </w:p>
        </w:tc>
        <w:tc>
          <w:tcPr>
            <w:tcW w:w="1351" w:type="pct"/>
            <w:gridSpan w:val="2"/>
            <w:noWrap/>
            <w:vAlign w:val="center"/>
          </w:tcPr>
          <w:p w14:paraId="5A3846A0">
            <w:pPr>
              <w:spacing w:line="360" w:lineRule="auto"/>
              <w:jc w:val="center"/>
              <w:rPr>
                <w:rFonts w:ascii="宋体" w:hAnsi="宋体" w:cs="宋体"/>
                <w:b/>
                <w:sz w:val="24"/>
              </w:rPr>
            </w:pPr>
            <w:r>
              <w:rPr>
                <w:rFonts w:hint="eastAsia" w:ascii="宋体" w:hAnsi="宋体" w:cs="宋体"/>
                <w:b/>
                <w:sz w:val="24"/>
              </w:rPr>
              <w:t>名称</w:t>
            </w:r>
          </w:p>
        </w:tc>
        <w:tc>
          <w:tcPr>
            <w:tcW w:w="869" w:type="pct"/>
            <w:noWrap/>
            <w:vAlign w:val="center"/>
          </w:tcPr>
          <w:p w14:paraId="0F1DA7C3">
            <w:pPr>
              <w:spacing w:line="360" w:lineRule="auto"/>
              <w:jc w:val="center"/>
              <w:rPr>
                <w:rFonts w:ascii="宋体" w:hAnsi="宋体" w:cs="宋体"/>
                <w:b/>
                <w:sz w:val="24"/>
              </w:rPr>
            </w:pPr>
            <w:r>
              <w:rPr>
                <w:rFonts w:hint="eastAsia" w:ascii="宋体" w:hAnsi="宋体" w:cs="宋体"/>
                <w:b/>
                <w:sz w:val="24"/>
              </w:rPr>
              <w:t>数量/项</w:t>
            </w:r>
          </w:p>
        </w:tc>
        <w:tc>
          <w:tcPr>
            <w:tcW w:w="797" w:type="pct"/>
            <w:gridSpan w:val="2"/>
            <w:noWrap/>
            <w:vAlign w:val="center"/>
          </w:tcPr>
          <w:p w14:paraId="192D4A8B">
            <w:pPr>
              <w:spacing w:line="360" w:lineRule="auto"/>
              <w:jc w:val="center"/>
              <w:rPr>
                <w:rFonts w:ascii="宋体" w:hAnsi="宋体" w:cs="宋体"/>
                <w:b/>
                <w:sz w:val="24"/>
              </w:rPr>
            </w:pPr>
            <w:r>
              <w:rPr>
                <w:rFonts w:hint="eastAsia" w:ascii="宋体" w:hAnsi="宋体" w:cs="宋体"/>
                <w:b/>
                <w:sz w:val="24"/>
              </w:rPr>
              <w:t>单价（元）</w:t>
            </w:r>
          </w:p>
        </w:tc>
        <w:tc>
          <w:tcPr>
            <w:tcW w:w="1472" w:type="pct"/>
            <w:gridSpan w:val="3"/>
            <w:noWrap/>
            <w:vAlign w:val="center"/>
          </w:tcPr>
          <w:p w14:paraId="4FB79717">
            <w:pPr>
              <w:spacing w:line="360" w:lineRule="auto"/>
              <w:jc w:val="center"/>
              <w:rPr>
                <w:rFonts w:ascii="宋体" w:hAnsi="宋体" w:cs="宋体"/>
                <w:b/>
                <w:sz w:val="24"/>
              </w:rPr>
            </w:pPr>
            <w:r>
              <w:rPr>
                <w:rFonts w:hint="eastAsia" w:ascii="宋体" w:hAnsi="宋体" w:cs="宋体"/>
                <w:b/>
                <w:sz w:val="24"/>
              </w:rPr>
              <w:t>小计（元）</w:t>
            </w:r>
          </w:p>
        </w:tc>
      </w:tr>
      <w:tr w14:paraId="24D8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noWrap/>
            <w:vAlign w:val="center"/>
          </w:tcPr>
          <w:p w14:paraId="06D27DFE">
            <w:pPr>
              <w:spacing w:line="360" w:lineRule="auto"/>
              <w:jc w:val="center"/>
              <w:rPr>
                <w:rFonts w:ascii="宋体" w:hAnsi="宋体" w:cs="宋体"/>
                <w:sz w:val="24"/>
              </w:rPr>
            </w:pPr>
            <w:r>
              <w:rPr>
                <w:rFonts w:hint="eastAsia" w:ascii="宋体" w:hAnsi="宋体" w:cs="宋体"/>
                <w:sz w:val="24"/>
              </w:rPr>
              <w:t>1</w:t>
            </w:r>
          </w:p>
        </w:tc>
        <w:tc>
          <w:tcPr>
            <w:tcW w:w="1351" w:type="pct"/>
            <w:gridSpan w:val="2"/>
            <w:noWrap/>
            <w:vAlign w:val="center"/>
          </w:tcPr>
          <w:p w14:paraId="076BA296">
            <w:pPr>
              <w:spacing w:line="360" w:lineRule="auto"/>
              <w:rPr>
                <w:rFonts w:ascii="宋体" w:hAnsi="宋体" w:cs="宋体"/>
                <w:sz w:val="24"/>
              </w:rPr>
            </w:pPr>
          </w:p>
        </w:tc>
        <w:tc>
          <w:tcPr>
            <w:tcW w:w="869" w:type="pct"/>
            <w:noWrap/>
            <w:vAlign w:val="center"/>
          </w:tcPr>
          <w:p w14:paraId="1E0880F1">
            <w:pPr>
              <w:spacing w:line="360" w:lineRule="auto"/>
              <w:rPr>
                <w:rFonts w:ascii="宋体" w:hAnsi="宋体" w:cs="宋体"/>
                <w:sz w:val="24"/>
              </w:rPr>
            </w:pPr>
          </w:p>
        </w:tc>
        <w:tc>
          <w:tcPr>
            <w:tcW w:w="797" w:type="pct"/>
            <w:gridSpan w:val="2"/>
            <w:noWrap/>
            <w:vAlign w:val="center"/>
          </w:tcPr>
          <w:p w14:paraId="26E1F4AC">
            <w:pPr>
              <w:spacing w:line="360" w:lineRule="auto"/>
              <w:rPr>
                <w:rFonts w:ascii="宋体" w:hAnsi="宋体" w:cs="宋体"/>
                <w:sz w:val="24"/>
              </w:rPr>
            </w:pPr>
          </w:p>
        </w:tc>
        <w:tc>
          <w:tcPr>
            <w:tcW w:w="1472" w:type="pct"/>
            <w:gridSpan w:val="3"/>
            <w:noWrap/>
            <w:vAlign w:val="center"/>
          </w:tcPr>
          <w:p w14:paraId="4AE9F323">
            <w:pPr>
              <w:spacing w:line="360" w:lineRule="auto"/>
              <w:rPr>
                <w:rFonts w:ascii="宋体" w:hAnsi="宋体" w:cs="宋体"/>
                <w:sz w:val="24"/>
              </w:rPr>
            </w:pPr>
          </w:p>
        </w:tc>
      </w:tr>
      <w:tr w14:paraId="5345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noWrap/>
            <w:vAlign w:val="center"/>
          </w:tcPr>
          <w:p w14:paraId="76305666">
            <w:pPr>
              <w:spacing w:line="360" w:lineRule="auto"/>
              <w:jc w:val="center"/>
              <w:rPr>
                <w:rFonts w:ascii="宋体" w:hAnsi="宋体" w:cs="宋体"/>
                <w:sz w:val="24"/>
              </w:rPr>
            </w:pPr>
            <w:r>
              <w:rPr>
                <w:rFonts w:hint="eastAsia" w:ascii="宋体" w:hAnsi="宋体" w:cs="宋体"/>
                <w:sz w:val="24"/>
              </w:rPr>
              <w:t>2</w:t>
            </w:r>
          </w:p>
        </w:tc>
        <w:tc>
          <w:tcPr>
            <w:tcW w:w="1351" w:type="pct"/>
            <w:gridSpan w:val="2"/>
            <w:noWrap/>
            <w:vAlign w:val="center"/>
          </w:tcPr>
          <w:p w14:paraId="58DDF025">
            <w:pPr>
              <w:spacing w:line="360" w:lineRule="auto"/>
              <w:rPr>
                <w:rFonts w:ascii="宋体" w:hAnsi="宋体" w:cs="宋体"/>
                <w:sz w:val="24"/>
              </w:rPr>
            </w:pPr>
          </w:p>
        </w:tc>
        <w:tc>
          <w:tcPr>
            <w:tcW w:w="869" w:type="pct"/>
            <w:noWrap/>
            <w:vAlign w:val="center"/>
          </w:tcPr>
          <w:p w14:paraId="1B822848">
            <w:pPr>
              <w:spacing w:line="360" w:lineRule="auto"/>
              <w:rPr>
                <w:rFonts w:ascii="宋体" w:hAnsi="宋体" w:cs="宋体"/>
                <w:sz w:val="24"/>
              </w:rPr>
            </w:pPr>
          </w:p>
        </w:tc>
        <w:tc>
          <w:tcPr>
            <w:tcW w:w="797" w:type="pct"/>
            <w:gridSpan w:val="2"/>
            <w:noWrap/>
            <w:vAlign w:val="center"/>
          </w:tcPr>
          <w:p w14:paraId="119F69DB">
            <w:pPr>
              <w:spacing w:line="360" w:lineRule="auto"/>
              <w:rPr>
                <w:rFonts w:ascii="宋体" w:hAnsi="宋体" w:cs="宋体"/>
                <w:sz w:val="24"/>
              </w:rPr>
            </w:pPr>
          </w:p>
        </w:tc>
        <w:tc>
          <w:tcPr>
            <w:tcW w:w="1472" w:type="pct"/>
            <w:gridSpan w:val="3"/>
            <w:noWrap/>
            <w:vAlign w:val="center"/>
          </w:tcPr>
          <w:p w14:paraId="7EAE58CD">
            <w:pPr>
              <w:spacing w:line="360" w:lineRule="auto"/>
              <w:rPr>
                <w:rFonts w:ascii="宋体" w:hAnsi="宋体" w:cs="宋体"/>
                <w:sz w:val="24"/>
              </w:rPr>
            </w:pPr>
          </w:p>
        </w:tc>
      </w:tr>
      <w:tr w14:paraId="47EA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noWrap/>
            <w:vAlign w:val="center"/>
          </w:tcPr>
          <w:p w14:paraId="3A7F83AA">
            <w:pPr>
              <w:spacing w:line="360" w:lineRule="auto"/>
              <w:jc w:val="center"/>
              <w:rPr>
                <w:rFonts w:ascii="宋体" w:hAnsi="宋体" w:cs="宋体"/>
                <w:sz w:val="24"/>
              </w:rPr>
            </w:pPr>
            <w:r>
              <w:rPr>
                <w:rFonts w:hint="eastAsia" w:ascii="宋体" w:hAnsi="宋体" w:cs="宋体"/>
                <w:sz w:val="24"/>
              </w:rPr>
              <w:t>…</w:t>
            </w:r>
          </w:p>
        </w:tc>
        <w:tc>
          <w:tcPr>
            <w:tcW w:w="1351" w:type="pct"/>
            <w:gridSpan w:val="2"/>
            <w:noWrap/>
            <w:vAlign w:val="center"/>
          </w:tcPr>
          <w:p w14:paraId="0704B172">
            <w:pPr>
              <w:spacing w:line="360" w:lineRule="auto"/>
              <w:rPr>
                <w:rFonts w:ascii="宋体" w:hAnsi="宋体" w:cs="宋体"/>
                <w:sz w:val="24"/>
              </w:rPr>
            </w:pPr>
          </w:p>
        </w:tc>
        <w:tc>
          <w:tcPr>
            <w:tcW w:w="869" w:type="pct"/>
            <w:noWrap/>
            <w:vAlign w:val="center"/>
          </w:tcPr>
          <w:p w14:paraId="1D984FB5">
            <w:pPr>
              <w:spacing w:line="360" w:lineRule="auto"/>
              <w:rPr>
                <w:rFonts w:ascii="宋体" w:hAnsi="宋体" w:cs="宋体"/>
                <w:sz w:val="24"/>
              </w:rPr>
            </w:pPr>
          </w:p>
        </w:tc>
        <w:tc>
          <w:tcPr>
            <w:tcW w:w="797" w:type="pct"/>
            <w:gridSpan w:val="2"/>
            <w:noWrap/>
            <w:vAlign w:val="center"/>
          </w:tcPr>
          <w:p w14:paraId="313E95DF">
            <w:pPr>
              <w:spacing w:line="360" w:lineRule="auto"/>
              <w:rPr>
                <w:rFonts w:ascii="宋体" w:hAnsi="宋体" w:cs="宋体"/>
                <w:sz w:val="24"/>
              </w:rPr>
            </w:pPr>
          </w:p>
        </w:tc>
        <w:tc>
          <w:tcPr>
            <w:tcW w:w="1472" w:type="pct"/>
            <w:gridSpan w:val="3"/>
            <w:noWrap/>
            <w:vAlign w:val="center"/>
          </w:tcPr>
          <w:p w14:paraId="6A2CD6DB">
            <w:pPr>
              <w:spacing w:line="360" w:lineRule="auto"/>
              <w:rPr>
                <w:rFonts w:ascii="宋体" w:hAnsi="宋体" w:cs="宋体"/>
                <w:sz w:val="24"/>
              </w:rPr>
            </w:pPr>
          </w:p>
        </w:tc>
      </w:tr>
      <w:tr w14:paraId="1412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860" w:type="pct"/>
            <w:gridSpan w:val="3"/>
            <w:noWrap/>
            <w:vAlign w:val="center"/>
          </w:tcPr>
          <w:p w14:paraId="67EF8F82">
            <w:pPr>
              <w:spacing w:line="360" w:lineRule="auto"/>
              <w:jc w:val="center"/>
              <w:rPr>
                <w:rFonts w:ascii="宋体" w:hAnsi="宋体" w:cs="宋体"/>
                <w:sz w:val="24"/>
              </w:rPr>
            </w:pPr>
            <w:r>
              <w:rPr>
                <w:rFonts w:hint="eastAsia" w:ascii="宋体" w:hAnsi="宋体" w:cs="宋体"/>
                <w:b/>
                <w:bCs/>
                <w:sz w:val="24"/>
              </w:rPr>
              <w:t>总计（元）</w:t>
            </w:r>
          </w:p>
        </w:tc>
        <w:tc>
          <w:tcPr>
            <w:tcW w:w="3139" w:type="pct"/>
            <w:gridSpan w:val="6"/>
            <w:noWrap/>
            <w:vAlign w:val="center"/>
          </w:tcPr>
          <w:p w14:paraId="676112F4">
            <w:pPr>
              <w:spacing w:line="360" w:lineRule="auto"/>
              <w:rPr>
                <w:rFonts w:ascii="宋体" w:hAnsi="宋体" w:cs="宋体"/>
                <w:sz w:val="24"/>
              </w:rPr>
            </w:pPr>
          </w:p>
        </w:tc>
      </w:tr>
    </w:tbl>
    <w:p w14:paraId="02DA8BBD">
      <w:pPr>
        <w:pStyle w:val="53"/>
        <w:rPr>
          <w:rFonts w:ascii="宋体" w:hAnsi="宋体" w:cs="宋体"/>
          <w:b/>
          <w:bCs/>
        </w:rPr>
      </w:pPr>
    </w:p>
    <w:p w14:paraId="21302B92">
      <w:pPr>
        <w:pStyle w:val="53"/>
        <w:rPr>
          <w:rFonts w:ascii="宋体" w:hAnsi="宋体" w:cs="宋体"/>
          <w:b/>
          <w:bCs/>
        </w:rPr>
      </w:pPr>
    </w:p>
    <w:p w14:paraId="2638A9ED">
      <w:pPr>
        <w:spacing w:line="360" w:lineRule="auto"/>
        <w:ind w:firstLine="4800" w:firstLineChars="2000"/>
        <w:rPr>
          <w:rFonts w:ascii="宋体" w:hAnsi="宋体" w:cs="宋体"/>
          <w:sz w:val="24"/>
        </w:rPr>
      </w:pPr>
    </w:p>
    <w:p w14:paraId="06B27387">
      <w:pPr>
        <w:spacing w:line="360" w:lineRule="auto"/>
        <w:ind w:firstLine="4800" w:firstLineChars="2000"/>
        <w:rPr>
          <w:rFonts w:ascii="宋体" w:hAnsi="宋体" w:cs="宋体"/>
          <w:sz w:val="24"/>
        </w:rPr>
      </w:pPr>
      <w:r>
        <w:rPr>
          <w:rFonts w:hint="eastAsia" w:ascii="宋体" w:hAnsi="宋体" w:cs="宋体"/>
          <w:sz w:val="24"/>
        </w:rPr>
        <w:t>供应商盖章：</w:t>
      </w:r>
    </w:p>
    <w:p w14:paraId="3C04ED3C">
      <w:pPr>
        <w:spacing w:line="360" w:lineRule="auto"/>
        <w:ind w:firstLine="4800" w:firstLineChars="2000"/>
        <w:rPr>
          <w:rFonts w:ascii="宋体" w:hAnsi="宋体" w:cs="宋体"/>
          <w:sz w:val="24"/>
          <w:u w:val="single"/>
        </w:rPr>
      </w:pPr>
      <w:r>
        <w:rPr>
          <w:rFonts w:hint="eastAsia" w:ascii="宋体" w:hAnsi="宋体" w:cs="宋体"/>
          <w:sz w:val="24"/>
        </w:rPr>
        <w:t>日          期：</w:t>
      </w:r>
    </w:p>
    <w:p w14:paraId="727B5D06">
      <w:pPr>
        <w:adjustRightInd w:val="0"/>
        <w:snapToGrid w:val="0"/>
        <w:spacing w:line="360" w:lineRule="auto"/>
        <w:rPr>
          <w:rFonts w:ascii="宋体" w:hAnsi="宋体" w:cs="宋体"/>
          <w:b/>
          <w:bCs/>
          <w:sz w:val="24"/>
          <w:szCs w:val="28"/>
        </w:rPr>
      </w:pPr>
    </w:p>
    <w:p w14:paraId="604F8AA8">
      <w:pPr>
        <w:adjustRightInd w:val="0"/>
        <w:snapToGrid w:val="0"/>
        <w:spacing w:line="560" w:lineRule="exact"/>
        <w:ind w:firstLine="482" w:firstLineChars="200"/>
        <w:rPr>
          <w:rFonts w:ascii="宋体" w:hAnsi="宋体" w:cs="宋体"/>
          <w:sz w:val="24"/>
        </w:rPr>
      </w:pPr>
      <w:r>
        <w:rPr>
          <w:rFonts w:hint="eastAsia" w:ascii="宋体" w:hAnsi="宋体" w:cs="宋体"/>
          <w:b/>
          <w:bCs/>
          <w:sz w:val="24"/>
          <w:szCs w:val="28"/>
        </w:rPr>
        <w:t>注：</w:t>
      </w:r>
      <w:r>
        <w:rPr>
          <w:rFonts w:hint="eastAsia" w:ascii="宋体" w:hAnsi="宋体" w:cs="宋体"/>
          <w:sz w:val="24"/>
        </w:rPr>
        <w:t>1.表中所列货物为对应本项目需求的全部货物及所需附件购置费、包装费、运输费、人工费、保险费、安装调试费、各种税费、资料费、售后服务费及完成项目应有的全部费用。如有漏项或缺项，供应商承担全部责任。</w:t>
      </w:r>
    </w:p>
    <w:p w14:paraId="20B30D1B">
      <w:pPr>
        <w:spacing w:line="560" w:lineRule="exact"/>
        <w:ind w:firstLine="480" w:firstLineChars="200"/>
        <w:rPr>
          <w:rFonts w:ascii="宋体" w:hAnsi="宋体" w:cs="宋体"/>
          <w:b/>
          <w:sz w:val="24"/>
        </w:rPr>
      </w:pPr>
      <w:r>
        <w:rPr>
          <w:rFonts w:hint="eastAsia" w:ascii="宋体" w:hAnsi="宋体" w:cs="宋体"/>
          <w:sz w:val="24"/>
        </w:rPr>
        <w:t>2.表中须明确列出所投产品的货物名称、品牌、型号规格、原产地及生产厂商，否则可能导致</w:t>
      </w:r>
      <w:r>
        <w:rPr>
          <w:rFonts w:hint="eastAsia" w:ascii="宋体" w:hAnsi="宋体" w:cs="宋体"/>
          <w:b/>
          <w:bCs/>
          <w:sz w:val="24"/>
        </w:rPr>
        <w:t>投标无效</w:t>
      </w:r>
      <w:r>
        <w:rPr>
          <w:rFonts w:hint="eastAsia" w:ascii="宋体" w:hAnsi="宋体" w:cs="宋体"/>
          <w:sz w:val="24"/>
        </w:rPr>
        <w:t>。</w:t>
      </w:r>
      <w:r>
        <w:rPr>
          <w:rFonts w:hint="eastAsia" w:ascii="宋体" w:hAnsi="宋体" w:cs="宋体"/>
          <w:b/>
          <w:sz w:val="24"/>
        </w:rPr>
        <w:br w:type="page"/>
      </w:r>
    </w:p>
    <w:p w14:paraId="2D19A97A">
      <w:pPr>
        <w:spacing w:line="360" w:lineRule="auto"/>
        <w:jc w:val="center"/>
        <w:outlineLvl w:val="1"/>
        <w:rPr>
          <w:rFonts w:ascii="宋体" w:hAnsi="宋体" w:cs="宋体"/>
          <w:b/>
          <w:sz w:val="24"/>
        </w:rPr>
      </w:pPr>
      <w:r>
        <w:rPr>
          <w:rFonts w:hint="eastAsia" w:ascii="宋体" w:hAnsi="宋体" w:cs="宋体"/>
          <w:b/>
          <w:sz w:val="24"/>
        </w:rPr>
        <w:t>十三、其他报价响应证明材料</w:t>
      </w:r>
    </w:p>
    <w:p w14:paraId="4F9D98A3">
      <w:pPr>
        <w:spacing w:line="360" w:lineRule="auto"/>
        <w:jc w:val="center"/>
        <w:rPr>
          <w:rFonts w:ascii="宋体" w:hAnsi="宋体" w:cs="宋体"/>
          <w:b/>
          <w:sz w:val="24"/>
        </w:rPr>
      </w:pPr>
      <w:r>
        <w:rPr>
          <w:rFonts w:hint="eastAsia" w:ascii="宋体" w:hAnsi="宋体" w:cs="宋体"/>
          <w:sz w:val="24"/>
        </w:rPr>
        <w:t>（如有，提供符合发包文件要求的其他报价响应证明材料）</w:t>
      </w:r>
    </w:p>
    <w:bookmarkEnd w:id="109"/>
    <w:bookmarkEnd w:id="110"/>
    <w:bookmarkEnd w:id="111"/>
    <w:bookmarkEnd w:id="112"/>
    <w:bookmarkEnd w:id="113"/>
    <w:bookmarkEnd w:id="114"/>
    <w:bookmarkEnd w:id="115"/>
    <w:p w14:paraId="1BF52F55">
      <w:pPr>
        <w:spacing w:line="360" w:lineRule="auto"/>
        <w:jc w:val="left"/>
        <w:rPr>
          <w:rFonts w:asciiTheme="minorEastAsia" w:hAnsiTheme="minorEastAsia" w:eastAsiaTheme="minorEastAsia"/>
          <w:sz w:val="24"/>
        </w:rPr>
      </w:pP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微软简标宋">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MS Gothic"/>
    <w:panose1 w:val="02010609000101010101"/>
    <w:charset w:val="88"/>
    <w:family w:val="modern"/>
    <w:pitch w:val="default"/>
    <w:sig w:usb0="00000000" w:usb1="00000000" w:usb2="00000010" w:usb3="00000000" w:csb0="00100000" w:csb1="00000000"/>
  </w:font>
  <w:font w:name="MS Gothic">
    <w:panose1 w:val="020B0609070205080204"/>
    <w:charset w:val="80"/>
    <w:family w:val="auto"/>
    <w:pitch w:val="default"/>
    <w:sig w:usb0="E00002FF" w:usb1="6AC7FDFB" w:usb2="08000012" w:usb3="00000000" w:csb0="4002009F" w:csb1="DFD70000"/>
  </w:font>
  <w:font w:name="方正仿宋_GB2312">
    <w:altName w:val="仿宋"/>
    <w:panose1 w:val="00000000000000000000"/>
    <w:charset w:val="86"/>
    <w:family w:val="auto"/>
    <w:pitch w:val="default"/>
    <w:sig w:usb0="00000000" w:usb1="00000000" w:usb2="00000012" w:usb3="00000000" w:csb0="00040001" w:csb1="00000000"/>
  </w:font>
  <w:font w:name="华文中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0BC1D">
    <w:pPr>
      <w:pStyle w:val="16"/>
      <w:jc w:val="center"/>
    </w:pPr>
    <w:r>
      <mc:AlternateContent>
        <mc:Choice Requires="wps">
          <w:drawing>
            <wp:anchor distT="0" distB="0" distL="114300" distR="114300" simplePos="0" relativeHeight="251661312" behindDoc="0" locked="0" layoutInCell="1" allowOverlap="1">
              <wp:simplePos x="0" y="0"/>
              <wp:positionH relativeFrom="margin">
                <wp:posOffset>1437640</wp:posOffset>
              </wp:positionH>
              <wp:positionV relativeFrom="paragraph">
                <wp:posOffset>0</wp:posOffset>
              </wp:positionV>
              <wp:extent cx="2259965" cy="26479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259965" cy="264795"/>
                      </a:xfrm>
                      <a:prstGeom prst="rect">
                        <a:avLst/>
                      </a:prstGeom>
                      <a:noFill/>
                      <a:ln w="6350">
                        <a:noFill/>
                      </a:ln>
                      <a:effectLst/>
                    </wps:spPr>
                    <wps:txbx>
                      <w:txbxContent>
                        <w:p w14:paraId="20F43BFD">
                          <w:pPr>
                            <w:pStyle w:val="16"/>
                            <w:jc w:val="center"/>
                            <w:rPr>
                              <w:rFonts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ascii="方正仿宋_GB2312" w:hAnsi="方正仿宋_GB2312" w:eastAsia="方正仿宋_GB2312" w:cs="方正仿宋_GB2312"/>
                              <w:sz w:val="21"/>
                              <w:szCs w:val="21"/>
                            </w:rPr>
                            <w:t>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fldChar w:fldCharType="begin"/>
                          </w:r>
                          <w:r>
                            <w:instrText xml:space="preserve"> NUMPAGES  \* MERGEFORMAT </w:instrText>
                          </w:r>
                          <w:r>
                            <w:fldChar w:fldCharType="separate"/>
                          </w:r>
                          <w:r>
                            <w:rPr>
                              <w:rFonts w:ascii="方正仿宋_GB2312" w:hAnsi="方正仿宋_GB2312" w:eastAsia="方正仿宋_GB2312" w:cs="方正仿宋_GB2312"/>
                              <w:sz w:val="21"/>
                              <w:szCs w:val="21"/>
                            </w:rPr>
                            <w:t>56</w:t>
                          </w:r>
                          <w:r>
                            <w:rPr>
                              <w:rFonts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3.2pt;margin-top:0pt;height:20.85pt;width:177.95pt;mso-position-horizontal-relative:margin;z-index:251661312;mso-width-relative:page;mso-height-relative:page;" filled="f" stroked="f" coordsize="21600,21600" o:gfxdata="UEsDBAoAAAAAAIdO4kAAAAAAAAAAAAAAAAAEAAAAZHJzL1BLAwQUAAAACACHTuJAyGasgdcAAAAH&#10;AQAADwAAAGRycy9kb3ducmV2LnhtbE2PzU7DMBCE70i8g7VI3KidUEoVsumBnxtQKCDBzYlNEmGv&#10;o9hJy9uznOA4mtHMN+Xm4J2Y7Rj7QAjZQoGw1ATTU4vw+nJ3tgYRkyajXSCL8G0jbKrjo1IXJuzp&#10;2c671AouoVhohC6loZAyNp31Oi7CYIm9zzB6nViOrTSj3nO5dzJXaiW97okXOj3Y6842X7vJI7j3&#10;ON7XKn3MN+1DetrK6e02e0Q8PcnUFYhkD+kvDL/4jA4VM9VhIhOFQ8jz1ZKjCPyI7Yt1fg6iRlhm&#10;lyCrUv7nr34AUEsDBBQAAAAIAIdO4kAvWOrQPwIAAHAEAAAOAAAAZHJzL2Uyb0RvYy54bWytVM2O&#10;0zAQviPxDpbvNG2hhUZNV2WrIqQVu1JBnF3HaSzZHmM7TcoDwBvsiQt3nqvPwTg/XbRw2AOXdDwz&#10;npnvm89dXjVakaNwXoLJ6GQ0pkQYDrk0h4x++rh98YYSH5jJmQIjMnoSnl6tnj9b1jYVUyhB5cIR&#10;LGJ8WtuMliHYNEk8L4VmfgRWGAwW4DQLeHSHJHesxupaJdPxeJ7U4HLrgAvv0bvpgrSv6J5SEIpC&#10;crEBXmlhQlfVCcUCQvKltJ6u2mmLQvBwWxReBKIyikhD+8UmaO/jN1ktWXpwzJaS9yOwp4zwCJNm&#10;0mDTS6kNC4xUTv5VSkvuwEMRRhx00gFpGUEUk/EjbnYls6LFglR7eyHd/7+y/MPxzhGZoxIoMUzj&#10;ws/3388/fp1/fiOTSE9tfYpZO4t5oXkLTUzt/R6dEXVTOB1/EQ/BOJJ7upArmkA4OqfT2WIxn1HC&#10;MTadv3q9mMUyycNt63x4J0CTaGTU4fJaTtnxxocudUiJzQxspVLoZ6kypM7o/OVs3F64RLC4MjFB&#10;tFLoy0RE3eTRCs2+6eHsIT8hSgedTLzlW4mj3DAf7phDXSAwfDnhFj+FAmwJvUVJCe7rv/wxH9eF&#10;UUpq1FlG/ZeKOUGJem9wkVGUg+EGYz8YptLXgNLF5eA0rYkXXFCDWTjQn/FBrWMXDDHDsVdGw2Be&#10;h07t+CC5WK/bpMo6eSi7CyhDy8KN2Vke23TErqsAhWw5jxR1vOCu4gGF2G6tfzRR6X+e26yHP4r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hmrIHXAAAABwEAAA8AAAAAAAAAAQAgAAAAIgAAAGRy&#10;cy9kb3ducmV2LnhtbFBLAQIUABQAAAAIAIdO4kAvWOrQPwIAAHAEAAAOAAAAAAAAAAEAIAAAACYB&#10;AABkcnMvZTJvRG9jLnhtbFBLBQYAAAAABgAGAFkBAADXBQAAAAA=&#10;">
              <v:fill on="f" focussize="0,0"/>
              <v:stroke on="f" weight="0.5pt"/>
              <v:imagedata o:title=""/>
              <o:lock v:ext="edit" aspectratio="f"/>
              <v:textbox inset="0mm,0mm,0mm,0mm">
                <w:txbxContent>
                  <w:p w14:paraId="20F43BFD">
                    <w:pPr>
                      <w:pStyle w:val="16"/>
                      <w:jc w:val="center"/>
                      <w:rPr>
                        <w:rFonts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ascii="方正仿宋_GB2312" w:hAnsi="方正仿宋_GB2312" w:eastAsia="方正仿宋_GB2312" w:cs="方正仿宋_GB2312"/>
                        <w:sz w:val="21"/>
                        <w:szCs w:val="21"/>
                      </w:rPr>
                      <w:t>2</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fldChar w:fldCharType="begin"/>
                    </w:r>
                    <w:r>
                      <w:instrText xml:space="preserve"> NUMPAGES  \* MERGEFORMAT </w:instrText>
                    </w:r>
                    <w:r>
                      <w:fldChar w:fldCharType="separate"/>
                    </w:r>
                    <w:r>
                      <w:rPr>
                        <w:rFonts w:ascii="方正仿宋_GB2312" w:hAnsi="方正仿宋_GB2312" w:eastAsia="方正仿宋_GB2312" w:cs="方正仿宋_GB2312"/>
                        <w:sz w:val="21"/>
                        <w:szCs w:val="21"/>
                      </w:rPr>
                      <w:t>56</w:t>
                    </w:r>
                    <w:r>
                      <w:rPr>
                        <w:rFonts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8FEA4">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1039FA9">
                          <w:pPr>
                            <w:pStyle w:val="16"/>
                          </w:pPr>
                          <w:r>
                            <w:t xml:space="preserve">— </w:t>
                          </w:r>
                          <w:r>
                            <w:fldChar w:fldCharType="begin"/>
                          </w:r>
                          <w:r>
                            <w:instrText xml:space="preserve"> PAGE  \* MERGEFORMAT </w:instrText>
                          </w:r>
                          <w:r>
                            <w:fldChar w:fldCharType="separate"/>
                          </w:r>
                          <w:r>
                            <w:t>31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1039FA9">
                    <w:pPr>
                      <w:pStyle w:val="16"/>
                    </w:pPr>
                    <w:r>
                      <w:t xml:space="preserve">— </w:t>
                    </w:r>
                    <w:r>
                      <w:fldChar w:fldCharType="begin"/>
                    </w:r>
                    <w:r>
                      <w:instrText xml:space="preserve"> PAGE  \* MERGEFORMAT </w:instrText>
                    </w:r>
                    <w:r>
                      <w:fldChar w:fldCharType="separate"/>
                    </w:r>
                    <w:r>
                      <w:t>31</w:t>
                    </w:r>
                    <w:r>
                      <w:fldChar w:fldCharType="end"/>
                    </w:r>
                    <w:r>
                      <w:t xml:space="preserve"> —</w:t>
                    </w:r>
                  </w:p>
                </w:txbxContent>
              </v:textbox>
            </v:shape>
          </w:pict>
        </mc:Fallback>
      </mc:AlternateContent>
    </w:r>
  </w:p>
  <w:p w14:paraId="75015845">
    <w:pPr>
      <w:spacing w:line="220" w:lineRule="auto"/>
      <w:ind w:left="3323"/>
      <w:rPr>
        <w:rFonts w:ascii="宋体" w:hAnsi="宋体"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6296E">
    <w:pPr>
      <w:pStyle w:val="16"/>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posOffset>2066925</wp:posOffset>
              </wp:positionH>
              <wp:positionV relativeFrom="paragraph">
                <wp:posOffset>0</wp:posOffset>
              </wp:positionV>
              <wp:extent cx="2005965" cy="2647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2005965" cy="264795"/>
                      </a:xfrm>
                      <a:prstGeom prst="rect">
                        <a:avLst/>
                      </a:prstGeom>
                      <a:noFill/>
                      <a:ln w="6350">
                        <a:noFill/>
                      </a:ln>
                      <a:effectLst/>
                    </wps:spPr>
                    <wps:txbx>
                      <w:txbxContent>
                        <w:p w14:paraId="774C21EC">
                          <w:pPr>
                            <w:pStyle w:val="16"/>
                            <w:rPr>
                              <w:rFonts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ascii="方正仿宋_GB2312" w:hAnsi="方正仿宋_GB2312" w:eastAsia="方正仿宋_GB2312" w:cs="方正仿宋_GB2312"/>
                              <w:sz w:val="21"/>
                              <w:szCs w:val="21"/>
                            </w:rPr>
                            <w:t>56</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fldChar w:fldCharType="begin"/>
                          </w:r>
                          <w:r>
                            <w:instrText xml:space="preserve"> NUMPAGES  \* MERGEFORMAT </w:instrText>
                          </w:r>
                          <w:r>
                            <w:fldChar w:fldCharType="separate"/>
                          </w:r>
                          <w:r>
                            <w:rPr>
                              <w:rFonts w:ascii="方正仿宋_GB2312" w:hAnsi="方正仿宋_GB2312" w:eastAsia="方正仿宋_GB2312" w:cs="方正仿宋_GB2312"/>
                              <w:sz w:val="21"/>
                              <w:szCs w:val="21"/>
                            </w:rPr>
                            <w:t>56</w:t>
                          </w:r>
                          <w:r>
                            <w:rPr>
                              <w:rFonts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62.75pt;margin-top:0pt;height:20.85pt;width:157.95pt;mso-position-horizontal-relative:margin;z-index:251660288;mso-width-relative:page;mso-height-relative:page;" filled="f" stroked="f" coordsize="21600,21600" o:gfxdata="UEsDBAoAAAAAAIdO4kAAAAAAAAAAAAAAAAAEAAAAZHJzL1BLAwQUAAAACACHTuJArRIvJ9YAAAAH&#10;AQAADwAAAGRycy9kb3ducmV2LnhtbE2Py07DMBRE90j8g3WR2FHbJS0o5KYLHjugUECCnRNfkgg/&#10;IttJy99jVrAczWjmTLU5WMNmCnHwDkEuBDByrdeD6xBeX+7OLoHFpJxWxjtC+KYIm/r4qFKl9nv3&#10;TPMudSyXuFgqhD6lseQ8tj1ZFRd+JJe9Tx+sSlmGjuug9rncGr4UYs2tGlxe6NVI1z21X7vJIpj3&#10;GO4bkT7mm+4hPW359HYrHxFPT6S4ApbokP7C8Iuf0aHOTI2fnI7MIJwvV6scRciPsr0uZAGsQSjk&#10;BfC64v/56x9QSwMEFAAAAAgAh07iQBhEUNI4AgAAZAQAAA4AAABkcnMvZTJvRG9jLnhtbK1UwY7T&#10;MBC9I/EPlu80bWkLWzVdla2KkFbsSgVxdh2nsWR7jO02KR8Af8CJC3e+q9/B2Em6aOGwBy7u2DN5&#10;4/fmuYvrRityFM5LMDkdDYaUCMOhkGaf048fNi9eU+IDMwVTYEROT8LT6+XzZ4vazsUYKlCFcARB&#10;jJ/XNqdVCHaeZZ5XQjM/ACsMJktwmgXcun1WOFYjulbZeDicZTW4wjrgwns8XbdJ2iG6pwBCWUou&#10;1sAPWpjQojqhWEBKvpLW02W6bVkKHu7K0otAVE6RaUgrNsF4F9dsuWDzvWO2kry7AnvKFR5x0kwa&#10;bHqBWrPAyMHJv6C05A48lGHAQWctkaQIshgNH2mzrZgViQtK7e1FdP//YPn7470jssjphBLDNA78&#10;/P3b+cev88+vZBLlqa2fY9XWYl1o3kCDpunPPR5G1k3pdPxFPgTzKO7pIq5oAuF4iLOfXs2mlHDM&#10;jWeTV1fTCJM9fG2dD28FaBKDnDocXtKUHW99aEv7ktjMwEYqlQaoDKlzOns5HaYPLhkEVybWimSF&#10;DiYyam8eo9Dsmo7mDooTsnTQ2sRbvpF4lVvmwz1z6Askhi8n3OFSKsCW0EWUVOC+/Os81uO4MEtJ&#10;jT7Lqf98YE5Qot4ZHGQ0ZR+4Ptj1gTnoG0DrjvBNWp5C/MAF1YelA/0JH9QqdsEUMxx75TT04U1o&#10;3Y4PkovVKhWh9SwLt2ZreYRuxVwdApQy6RxlabXA+cQNmi9Nqnso0d1/7lPVw5/D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tEi8n1gAAAAcBAAAPAAAAAAAAAAEAIAAAACIAAABkcnMvZG93bnJl&#10;di54bWxQSwECFAAUAAAACACHTuJAGERQ0jgCAABkBAAADgAAAAAAAAABACAAAAAlAQAAZHJzL2Uy&#10;b0RvYy54bWxQSwUGAAAAAAYABgBZAQAAzwUAAAAA&#10;">
              <v:fill on="f" focussize="0,0"/>
              <v:stroke on="f" weight="0.5pt"/>
              <v:imagedata o:title=""/>
              <o:lock v:ext="edit" aspectratio="f"/>
              <v:textbox inset="0mm,0mm,0mm,0mm">
                <w:txbxContent>
                  <w:p w14:paraId="774C21EC">
                    <w:pPr>
                      <w:pStyle w:val="16"/>
                      <w:rPr>
                        <w:rFonts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ascii="方正仿宋_GB2312" w:hAnsi="方正仿宋_GB2312" w:eastAsia="方正仿宋_GB2312" w:cs="方正仿宋_GB2312"/>
                        <w:sz w:val="21"/>
                        <w:szCs w:val="21"/>
                      </w:rPr>
                      <w:t>56</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fldChar w:fldCharType="begin"/>
                    </w:r>
                    <w:r>
                      <w:instrText xml:space="preserve"> NUMPAGES  \* MERGEFORMAT </w:instrText>
                    </w:r>
                    <w:r>
                      <w:fldChar w:fldCharType="separate"/>
                    </w:r>
                    <w:r>
                      <w:rPr>
                        <w:rFonts w:ascii="方正仿宋_GB2312" w:hAnsi="方正仿宋_GB2312" w:eastAsia="方正仿宋_GB2312" w:cs="方正仿宋_GB2312"/>
                        <w:sz w:val="21"/>
                        <w:szCs w:val="21"/>
                      </w:rPr>
                      <w:t>56</w:t>
                    </w:r>
                    <w:r>
                      <w:rPr>
                        <w:rFonts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A0BBB">
    <w:pPr>
      <w:pStyle w:val="17"/>
    </w:pPr>
    <w:r>
      <w:rPr>
        <w:rFonts w:hint="eastAsia" w:asciiTheme="minorEastAsia" w:hAnsiTheme="minorEastAsia" w:eastAsiaTheme="minorEastAsia"/>
      </w:rPr>
      <w:t>发包文件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6EC1">
    <w:pPr>
      <w:pStyle w:val="17"/>
    </w:pPr>
    <w:r>
      <w:rPr>
        <w:rFonts w:hint="eastAsia" w:asciiTheme="minorEastAsia" w:hAnsiTheme="minorEastAsia" w:eastAsiaTheme="minorEastAsia"/>
      </w:rPr>
      <w:t>发包文件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9F7B3"/>
    <w:multiLevelType w:val="singleLevel"/>
    <w:tmpl w:val="CA29F7B3"/>
    <w:lvl w:ilvl="0" w:tentative="0">
      <w:start w:val="1"/>
      <w:numFmt w:val="decimal"/>
      <w:lvlText w:val="%1."/>
      <w:lvlJc w:val="left"/>
      <w:pPr>
        <w:tabs>
          <w:tab w:val="left" w:pos="312"/>
        </w:tabs>
      </w:pPr>
    </w:lvl>
  </w:abstractNum>
  <w:abstractNum w:abstractNumId="1">
    <w:nsid w:val="CEB48F62"/>
    <w:multiLevelType w:val="singleLevel"/>
    <w:tmpl w:val="CEB48F62"/>
    <w:lvl w:ilvl="0" w:tentative="0">
      <w:start w:val="6"/>
      <w:numFmt w:val="decimal"/>
      <w:suff w:val="nothing"/>
      <w:lvlText w:val="%1、"/>
      <w:lvlJc w:val="left"/>
    </w:lvl>
  </w:abstractNum>
  <w:abstractNum w:abstractNumId="2">
    <w:nsid w:val="58C5CBEC"/>
    <w:multiLevelType w:val="singleLevel"/>
    <w:tmpl w:val="58C5CBEC"/>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YThhNzBjNmJkOTA3Yzg1MTgwNWZkYWFlNzBjNWMifQ=="/>
  </w:docVars>
  <w:rsids>
    <w:rsidRoot w:val="00276BA1"/>
    <w:rsid w:val="0000043F"/>
    <w:rsid w:val="000037F9"/>
    <w:rsid w:val="000049DA"/>
    <w:rsid w:val="00005403"/>
    <w:rsid w:val="000056B7"/>
    <w:rsid w:val="00007D87"/>
    <w:rsid w:val="000131F7"/>
    <w:rsid w:val="00014039"/>
    <w:rsid w:val="00016B6C"/>
    <w:rsid w:val="00020B57"/>
    <w:rsid w:val="00020B6D"/>
    <w:rsid w:val="000323E2"/>
    <w:rsid w:val="00040C25"/>
    <w:rsid w:val="00042139"/>
    <w:rsid w:val="00042B14"/>
    <w:rsid w:val="00044F49"/>
    <w:rsid w:val="000450C3"/>
    <w:rsid w:val="00050A3F"/>
    <w:rsid w:val="00052F95"/>
    <w:rsid w:val="00054AA3"/>
    <w:rsid w:val="00056ECB"/>
    <w:rsid w:val="00057B40"/>
    <w:rsid w:val="000648D2"/>
    <w:rsid w:val="00070E0E"/>
    <w:rsid w:val="0007146E"/>
    <w:rsid w:val="00076DB7"/>
    <w:rsid w:val="00080FEB"/>
    <w:rsid w:val="00094D41"/>
    <w:rsid w:val="00097CB9"/>
    <w:rsid w:val="000A0161"/>
    <w:rsid w:val="000A10A9"/>
    <w:rsid w:val="000A6693"/>
    <w:rsid w:val="000A7970"/>
    <w:rsid w:val="000A7D94"/>
    <w:rsid w:val="000B1511"/>
    <w:rsid w:val="000B6249"/>
    <w:rsid w:val="000C1DB1"/>
    <w:rsid w:val="000C3DA7"/>
    <w:rsid w:val="000D19EC"/>
    <w:rsid w:val="000D3F37"/>
    <w:rsid w:val="000E3C74"/>
    <w:rsid w:val="000E3F9B"/>
    <w:rsid w:val="000E478E"/>
    <w:rsid w:val="000E668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61"/>
    <w:rsid w:val="001258BA"/>
    <w:rsid w:val="00130601"/>
    <w:rsid w:val="00132F4D"/>
    <w:rsid w:val="00133EA0"/>
    <w:rsid w:val="00137249"/>
    <w:rsid w:val="00140687"/>
    <w:rsid w:val="00146421"/>
    <w:rsid w:val="00153B20"/>
    <w:rsid w:val="00155F64"/>
    <w:rsid w:val="00157856"/>
    <w:rsid w:val="00160729"/>
    <w:rsid w:val="0016455F"/>
    <w:rsid w:val="00165398"/>
    <w:rsid w:val="00166794"/>
    <w:rsid w:val="00166ED8"/>
    <w:rsid w:val="001714C9"/>
    <w:rsid w:val="00171515"/>
    <w:rsid w:val="00172B93"/>
    <w:rsid w:val="001768BC"/>
    <w:rsid w:val="0018119B"/>
    <w:rsid w:val="001844AB"/>
    <w:rsid w:val="001853C7"/>
    <w:rsid w:val="00192879"/>
    <w:rsid w:val="001944B8"/>
    <w:rsid w:val="001967D2"/>
    <w:rsid w:val="00196DA3"/>
    <w:rsid w:val="001970C3"/>
    <w:rsid w:val="001971E5"/>
    <w:rsid w:val="001A0C0F"/>
    <w:rsid w:val="001A68E5"/>
    <w:rsid w:val="001B2A54"/>
    <w:rsid w:val="001B2BA4"/>
    <w:rsid w:val="001B5014"/>
    <w:rsid w:val="001B7327"/>
    <w:rsid w:val="001C2A15"/>
    <w:rsid w:val="001D22EA"/>
    <w:rsid w:val="001D53B4"/>
    <w:rsid w:val="001E1835"/>
    <w:rsid w:val="001F28D2"/>
    <w:rsid w:val="001F2F45"/>
    <w:rsid w:val="001F3023"/>
    <w:rsid w:val="001F35F6"/>
    <w:rsid w:val="001F4AAF"/>
    <w:rsid w:val="001F74CA"/>
    <w:rsid w:val="001F7590"/>
    <w:rsid w:val="002003B6"/>
    <w:rsid w:val="0020244A"/>
    <w:rsid w:val="002049B4"/>
    <w:rsid w:val="0020520B"/>
    <w:rsid w:val="002076AD"/>
    <w:rsid w:val="00213C55"/>
    <w:rsid w:val="00223CF4"/>
    <w:rsid w:val="00224B69"/>
    <w:rsid w:val="00224C4A"/>
    <w:rsid w:val="00231187"/>
    <w:rsid w:val="0023407E"/>
    <w:rsid w:val="00240715"/>
    <w:rsid w:val="00240B40"/>
    <w:rsid w:val="00244182"/>
    <w:rsid w:val="002544A1"/>
    <w:rsid w:val="00257ECE"/>
    <w:rsid w:val="00260382"/>
    <w:rsid w:val="00260B94"/>
    <w:rsid w:val="00264F2E"/>
    <w:rsid w:val="00271245"/>
    <w:rsid w:val="00272BD6"/>
    <w:rsid w:val="00273F66"/>
    <w:rsid w:val="00274A9E"/>
    <w:rsid w:val="00276BA1"/>
    <w:rsid w:val="00280984"/>
    <w:rsid w:val="002832CF"/>
    <w:rsid w:val="00283599"/>
    <w:rsid w:val="002835E3"/>
    <w:rsid w:val="00284542"/>
    <w:rsid w:val="002A14D1"/>
    <w:rsid w:val="002A1A1D"/>
    <w:rsid w:val="002A28AD"/>
    <w:rsid w:val="002B04FD"/>
    <w:rsid w:val="002B5318"/>
    <w:rsid w:val="002B6D27"/>
    <w:rsid w:val="002B7A09"/>
    <w:rsid w:val="002C060C"/>
    <w:rsid w:val="002C078A"/>
    <w:rsid w:val="002C7F27"/>
    <w:rsid w:val="002D05DD"/>
    <w:rsid w:val="002D0E4D"/>
    <w:rsid w:val="002D2965"/>
    <w:rsid w:val="002D3D02"/>
    <w:rsid w:val="002D4CB5"/>
    <w:rsid w:val="002D5900"/>
    <w:rsid w:val="002D684B"/>
    <w:rsid w:val="002E2D3A"/>
    <w:rsid w:val="002E2E96"/>
    <w:rsid w:val="002E3B26"/>
    <w:rsid w:val="002E4AB8"/>
    <w:rsid w:val="002E7FC4"/>
    <w:rsid w:val="00310070"/>
    <w:rsid w:val="0031081B"/>
    <w:rsid w:val="003110EC"/>
    <w:rsid w:val="00312CF5"/>
    <w:rsid w:val="00314289"/>
    <w:rsid w:val="003206A6"/>
    <w:rsid w:val="0032560D"/>
    <w:rsid w:val="00327C92"/>
    <w:rsid w:val="00333292"/>
    <w:rsid w:val="003344E7"/>
    <w:rsid w:val="0033580B"/>
    <w:rsid w:val="003365E7"/>
    <w:rsid w:val="003378D5"/>
    <w:rsid w:val="003473D7"/>
    <w:rsid w:val="00351995"/>
    <w:rsid w:val="00351AC8"/>
    <w:rsid w:val="00353075"/>
    <w:rsid w:val="00363E02"/>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B25A5"/>
    <w:rsid w:val="003B4130"/>
    <w:rsid w:val="003B6FA1"/>
    <w:rsid w:val="003B715B"/>
    <w:rsid w:val="003C2C62"/>
    <w:rsid w:val="003C5566"/>
    <w:rsid w:val="003C577A"/>
    <w:rsid w:val="003C7C74"/>
    <w:rsid w:val="003D1D14"/>
    <w:rsid w:val="003D6C7C"/>
    <w:rsid w:val="003D6EFB"/>
    <w:rsid w:val="003D7E52"/>
    <w:rsid w:val="003E25C6"/>
    <w:rsid w:val="003F7528"/>
    <w:rsid w:val="004011AA"/>
    <w:rsid w:val="0040202C"/>
    <w:rsid w:val="00404A8F"/>
    <w:rsid w:val="00406508"/>
    <w:rsid w:val="004110F6"/>
    <w:rsid w:val="004134F8"/>
    <w:rsid w:val="0041456E"/>
    <w:rsid w:val="004148E3"/>
    <w:rsid w:val="00414F7E"/>
    <w:rsid w:val="004164F8"/>
    <w:rsid w:val="00422224"/>
    <w:rsid w:val="00426F05"/>
    <w:rsid w:val="004328E1"/>
    <w:rsid w:val="004427B7"/>
    <w:rsid w:val="0044349F"/>
    <w:rsid w:val="00445F1F"/>
    <w:rsid w:val="00447862"/>
    <w:rsid w:val="00451F60"/>
    <w:rsid w:val="00452BB2"/>
    <w:rsid w:val="00456054"/>
    <w:rsid w:val="0045656D"/>
    <w:rsid w:val="00462D98"/>
    <w:rsid w:val="00463E7D"/>
    <w:rsid w:val="00472A44"/>
    <w:rsid w:val="00473A89"/>
    <w:rsid w:val="00475899"/>
    <w:rsid w:val="00482C78"/>
    <w:rsid w:val="00483ABC"/>
    <w:rsid w:val="0048634A"/>
    <w:rsid w:val="004874AE"/>
    <w:rsid w:val="0049056F"/>
    <w:rsid w:val="00492217"/>
    <w:rsid w:val="00494D24"/>
    <w:rsid w:val="004951D1"/>
    <w:rsid w:val="004960BB"/>
    <w:rsid w:val="004A1BA3"/>
    <w:rsid w:val="004A27D0"/>
    <w:rsid w:val="004A4D67"/>
    <w:rsid w:val="004B7E79"/>
    <w:rsid w:val="004C13CB"/>
    <w:rsid w:val="004C1AAB"/>
    <w:rsid w:val="004C5B90"/>
    <w:rsid w:val="004D3D4B"/>
    <w:rsid w:val="004D5498"/>
    <w:rsid w:val="004D66A5"/>
    <w:rsid w:val="004D6B00"/>
    <w:rsid w:val="004D732A"/>
    <w:rsid w:val="004E1D50"/>
    <w:rsid w:val="004E3266"/>
    <w:rsid w:val="004E38BA"/>
    <w:rsid w:val="004E50CA"/>
    <w:rsid w:val="004F27A0"/>
    <w:rsid w:val="0050027D"/>
    <w:rsid w:val="00501382"/>
    <w:rsid w:val="005048FB"/>
    <w:rsid w:val="00510563"/>
    <w:rsid w:val="00510798"/>
    <w:rsid w:val="005119B5"/>
    <w:rsid w:val="005125F1"/>
    <w:rsid w:val="00524A11"/>
    <w:rsid w:val="00527768"/>
    <w:rsid w:val="00530EA4"/>
    <w:rsid w:val="005327FB"/>
    <w:rsid w:val="00533251"/>
    <w:rsid w:val="00533FCA"/>
    <w:rsid w:val="005346EF"/>
    <w:rsid w:val="00542F0C"/>
    <w:rsid w:val="005470D4"/>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571E"/>
    <w:rsid w:val="005C088A"/>
    <w:rsid w:val="005C1D52"/>
    <w:rsid w:val="005C46AC"/>
    <w:rsid w:val="005D0200"/>
    <w:rsid w:val="005D44EF"/>
    <w:rsid w:val="005D5112"/>
    <w:rsid w:val="005D5D67"/>
    <w:rsid w:val="005E2BBE"/>
    <w:rsid w:val="005F34CC"/>
    <w:rsid w:val="005F3914"/>
    <w:rsid w:val="005F3B5A"/>
    <w:rsid w:val="005F6AB4"/>
    <w:rsid w:val="00607471"/>
    <w:rsid w:val="00610A66"/>
    <w:rsid w:val="006119B8"/>
    <w:rsid w:val="00613177"/>
    <w:rsid w:val="00613F7C"/>
    <w:rsid w:val="00614BF2"/>
    <w:rsid w:val="0061557C"/>
    <w:rsid w:val="00623DE2"/>
    <w:rsid w:val="00627601"/>
    <w:rsid w:val="006300D0"/>
    <w:rsid w:val="00632012"/>
    <w:rsid w:val="00634694"/>
    <w:rsid w:val="00636517"/>
    <w:rsid w:val="00636EE7"/>
    <w:rsid w:val="00637690"/>
    <w:rsid w:val="00640E1E"/>
    <w:rsid w:val="0064389A"/>
    <w:rsid w:val="00645442"/>
    <w:rsid w:val="006525CD"/>
    <w:rsid w:val="00653F7F"/>
    <w:rsid w:val="00662DCD"/>
    <w:rsid w:val="00662EE8"/>
    <w:rsid w:val="00663813"/>
    <w:rsid w:val="00664AFD"/>
    <w:rsid w:val="00667567"/>
    <w:rsid w:val="0067391A"/>
    <w:rsid w:val="00674173"/>
    <w:rsid w:val="0067534F"/>
    <w:rsid w:val="00677D87"/>
    <w:rsid w:val="006834FA"/>
    <w:rsid w:val="00690DB1"/>
    <w:rsid w:val="00693404"/>
    <w:rsid w:val="006953D9"/>
    <w:rsid w:val="006A1269"/>
    <w:rsid w:val="006A5803"/>
    <w:rsid w:val="006A69C3"/>
    <w:rsid w:val="006A7C15"/>
    <w:rsid w:val="006B1242"/>
    <w:rsid w:val="006B1DBC"/>
    <w:rsid w:val="006B3712"/>
    <w:rsid w:val="006B7D9A"/>
    <w:rsid w:val="006C06D9"/>
    <w:rsid w:val="006C3E22"/>
    <w:rsid w:val="006C5716"/>
    <w:rsid w:val="006C64B2"/>
    <w:rsid w:val="006C74A9"/>
    <w:rsid w:val="006D07DE"/>
    <w:rsid w:val="006D361A"/>
    <w:rsid w:val="006D6A81"/>
    <w:rsid w:val="006E06D9"/>
    <w:rsid w:val="006E1D40"/>
    <w:rsid w:val="006E2E1F"/>
    <w:rsid w:val="006E5059"/>
    <w:rsid w:val="006F5F03"/>
    <w:rsid w:val="006F5FFF"/>
    <w:rsid w:val="00710804"/>
    <w:rsid w:val="00711FC6"/>
    <w:rsid w:val="00712952"/>
    <w:rsid w:val="007130B1"/>
    <w:rsid w:val="00713487"/>
    <w:rsid w:val="00715071"/>
    <w:rsid w:val="007231E9"/>
    <w:rsid w:val="00724F0E"/>
    <w:rsid w:val="007270A6"/>
    <w:rsid w:val="00727C59"/>
    <w:rsid w:val="00733730"/>
    <w:rsid w:val="00734E5D"/>
    <w:rsid w:val="00736013"/>
    <w:rsid w:val="00737BF8"/>
    <w:rsid w:val="0074339B"/>
    <w:rsid w:val="0074478E"/>
    <w:rsid w:val="00750B60"/>
    <w:rsid w:val="00756245"/>
    <w:rsid w:val="00761662"/>
    <w:rsid w:val="00764043"/>
    <w:rsid w:val="00766A36"/>
    <w:rsid w:val="007757CF"/>
    <w:rsid w:val="007769F6"/>
    <w:rsid w:val="00780F9D"/>
    <w:rsid w:val="0078128F"/>
    <w:rsid w:val="007819D9"/>
    <w:rsid w:val="0078683C"/>
    <w:rsid w:val="00790EDB"/>
    <w:rsid w:val="00791538"/>
    <w:rsid w:val="0079326E"/>
    <w:rsid w:val="00796EDE"/>
    <w:rsid w:val="007A5A58"/>
    <w:rsid w:val="007B1C56"/>
    <w:rsid w:val="007B2EDC"/>
    <w:rsid w:val="007C1DD7"/>
    <w:rsid w:val="007C3CD5"/>
    <w:rsid w:val="007C4756"/>
    <w:rsid w:val="007C5E88"/>
    <w:rsid w:val="007C61EF"/>
    <w:rsid w:val="007C6783"/>
    <w:rsid w:val="007D03DE"/>
    <w:rsid w:val="007D1C0D"/>
    <w:rsid w:val="007D2D23"/>
    <w:rsid w:val="007E1AE9"/>
    <w:rsid w:val="007E27D6"/>
    <w:rsid w:val="007E3921"/>
    <w:rsid w:val="00801028"/>
    <w:rsid w:val="00803793"/>
    <w:rsid w:val="00804000"/>
    <w:rsid w:val="008101A2"/>
    <w:rsid w:val="00817A01"/>
    <w:rsid w:val="00820937"/>
    <w:rsid w:val="00825E35"/>
    <w:rsid w:val="00830A4E"/>
    <w:rsid w:val="008334F8"/>
    <w:rsid w:val="00835FFD"/>
    <w:rsid w:val="0084381F"/>
    <w:rsid w:val="00843E35"/>
    <w:rsid w:val="008524CE"/>
    <w:rsid w:val="00857633"/>
    <w:rsid w:val="0086440C"/>
    <w:rsid w:val="008674ED"/>
    <w:rsid w:val="00874EE6"/>
    <w:rsid w:val="00876659"/>
    <w:rsid w:val="0087734C"/>
    <w:rsid w:val="00882141"/>
    <w:rsid w:val="00886BD4"/>
    <w:rsid w:val="008876EC"/>
    <w:rsid w:val="008922A8"/>
    <w:rsid w:val="00895BD5"/>
    <w:rsid w:val="008A16C4"/>
    <w:rsid w:val="008A4A27"/>
    <w:rsid w:val="008A649F"/>
    <w:rsid w:val="008A6FED"/>
    <w:rsid w:val="008B39C5"/>
    <w:rsid w:val="008B51AA"/>
    <w:rsid w:val="008C67F2"/>
    <w:rsid w:val="008D064A"/>
    <w:rsid w:val="008D2537"/>
    <w:rsid w:val="008D2B0F"/>
    <w:rsid w:val="008D633C"/>
    <w:rsid w:val="008E449E"/>
    <w:rsid w:val="008E4BDD"/>
    <w:rsid w:val="008E770C"/>
    <w:rsid w:val="008F187F"/>
    <w:rsid w:val="008F402F"/>
    <w:rsid w:val="008F76E8"/>
    <w:rsid w:val="00904508"/>
    <w:rsid w:val="009078A1"/>
    <w:rsid w:val="00911E9C"/>
    <w:rsid w:val="00913719"/>
    <w:rsid w:val="00917405"/>
    <w:rsid w:val="00920C1F"/>
    <w:rsid w:val="00920F7C"/>
    <w:rsid w:val="00922718"/>
    <w:rsid w:val="00924743"/>
    <w:rsid w:val="00932A87"/>
    <w:rsid w:val="00934CAE"/>
    <w:rsid w:val="0093560E"/>
    <w:rsid w:val="0094257D"/>
    <w:rsid w:val="009443B6"/>
    <w:rsid w:val="00946F68"/>
    <w:rsid w:val="0095467C"/>
    <w:rsid w:val="00954A61"/>
    <w:rsid w:val="00955C6F"/>
    <w:rsid w:val="00966C7B"/>
    <w:rsid w:val="009701DC"/>
    <w:rsid w:val="009715D8"/>
    <w:rsid w:val="009811A8"/>
    <w:rsid w:val="0098388D"/>
    <w:rsid w:val="00991460"/>
    <w:rsid w:val="00995BF9"/>
    <w:rsid w:val="009975CC"/>
    <w:rsid w:val="009A0CAF"/>
    <w:rsid w:val="009A2207"/>
    <w:rsid w:val="009A2D34"/>
    <w:rsid w:val="009A6565"/>
    <w:rsid w:val="009B0EDA"/>
    <w:rsid w:val="009B4B3B"/>
    <w:rsid w:val="009B6C42"/>
    <w:rsid w:val="009D2998"/>
    <w:rsid w:val="009D31F7"/>
    <w:rsid w:val="009D32C2"/>
    <w:rsid w:val="009D50DB"/>
    <w:rsid w:val="009E2932"/>
    <w:rsid w:val="009E3A0A"/>
    <w:rsid w:val="009F1936"/>
    <w:rsid w:val="009F3E91"/>
    <w:rsid w:val="00A008DA"/>
    <w:rsid w:val="00A00C93"/>
    <w:rsid w:val="00A0571E"/>
    <w:rsid w:val="00A13A27"/>
    <w:rsid w:val="00A1499B"/>
    <w:rsid w:val="00A170D8"/>
    <w:rsid w:val="00A30A1B"/>
    <w:rsid w:val="00A311AD"/>
    <w:rsid w:val="00A314C2"/>
    <w:rsid w:val="00A501BF"/>
    <w:rsid w:val="00A519A0"/>
    <w:rsid w:val="00A5274A"/>
    <w:rsid w:val="00A62A2E"/>
    <w:rsid w:val="00A63A4D"/>
    <w:rsid w:val="00A63E86"/>
    <w:rsid w:val="00A67AF7"/>
    <w:rsid w:val="00A75185"/>
    <w:rsid w:val="00A754A0"/>
    <w:rsid w:val="00A757C3"/>
    <w:rsid w:val="00A75E5B"/>
    <w:rsid w:val="00A75F4B"/>
    <w:rsid w:val="00A7684A"/>
    <w:rsid w:val="00A83B69"/>
    <w:rsid w:val="00A86533"/>
    <w:rsid w:val="00A91CA2"/>
    <w:rsid w:val="00A92FB8"/>
    <w:rsid w:val="00A948F1"/>
    <w:rsid w:val="00AA0BE3"/>
    <w:rsid w:val="00AA18F9"/>
    <w:rsid w:val="00AA1D7D"/>
    <w:rsid w:val="00AA2790"/>
    <w:rsid w:val="00AA3806"/>
    <w:rsid w:val="00AB139D"/>
    <w:rsid w:val="00AB2A35"/>
    <w:rsid w:val="00AB2D05"/>
    <w:rsid w:val="00AB3EFB"/>
    <w:rsid w:val="00AC0B05"/>
    <w:rsid w:val="00AC1962"/>
    <w:rsid w:val="00AC7F9D"/>
    <w:rsid w:val="00AD079A"/>
    <w:rsid w:val="00AD1890"/>
    <w:rsid w:val="00AE2149"/>
    <w:rsid w:val="00AE2BF3"/>
    <w:rsid w:val="00AE33AE"/>
    <w:rsid w:val="00AE3986"/>
    <w:rsid w:val="00AE3F91"/>
    <w:rsid w:val="00AF5B63"/>
    <w:rsid w:val="00B0053D"/>
    <w:rsid w:val="00B01176"/>
    <w:rsid w:val="00B039E3"/>
    <w:rsid w:val="00B06D36"/>
    <w:rsid w:val="00B12BC4"/>
    <w:rsid w:val="00B22838"/>
    <w:rsid w:val="00B33E8F"/>
    <w:rsid w:val="00B33E95"/>
    <w:rsid w:val="00B3720B"/>
    <w:rsid w:val="00B45D0B"/>
    <w:rsid w:val="00B52FA0"/>
    <w:rsid w:val="00B5558A"/>
    <w:rsid w:val="00B56513"/>
    <w:rsid w:val="00B61B64"/>
    <w:rsid w:val="00B631E4"/>
    <w:rsid w:val="00B64376"/>
    <w:rsid w:val="00B646B0"/>
    <w:rsid w:val="00B6570C"/>
    <w:rsid w:val="00B6790B"/>
    <w:rsid w:val="00B7401F"/>
    <w:rsid w:val="00B769CF"/>
    <w:rsid w:val="00B806C3"/>
    <w:rsid w:val="00B80D6F"/>
    <w:rsid w:val="00B84FCA"/>
    <w:rsid w:val="00B9089F"/>
    <w:rsid w:val="00B91826"/>
    <w:rsid w:val="00B91AEE"/>
    <w:rsid w:val="00B95F5A"/>
    <w:rsid w:val="00B96EAD"/>
    <w:rsid w:val="00BA4962"/>
    <w:rsid w:val="00BA4B7C"/>
    <w:rsid w:val="00BA79F5"/>
    <w:rsid w:val="00BA7EA7"/>
    <w:rsid w:val="00BB2E28"/>
    <w:rsid w:val="00BB3AB6"/>
    <w:rsid w:val="00BB766D"/>
    <w:rsid w:val="00BC007B"/>
    <w:rsid w:val="00BC1715"/>
    <w:rsid w:val="00BC26BA"/>
    <w:rsid w:val="00BC35F8"/>
    <w:rsid w:val="00BC481B"/>
    <w:rsid w:val="00BD08DF"/>
    <w:rsid w:val="00BD2D29"/>
    <w:rsid w:val="00BD617C"/>
    <w:rsid w:val="00BE782C"/>
    <w:rsid w:val="00BF376F"/>
    <w:rsid w:val="00BF46A6"/>
    <w:rsid w:val="00BF6CAD"/>
    <w:rsid w:val="00BF71FB"/>
    <w:rsid w:val="00C04DBF"/>
    <w:rsid w:val="00C05E4C"/>
    <w:rsid w:val="00C06545"/>
    <w:rsid w:val="00C134AF"/>
    <w:rsid w:val="00C220FC"/>
    <w:rsid w:val="00C24DFA"/>
    <w:rsid w:val="00C24F9D"/>
    <w:rsid w:val="00C30182"/>
    <w:rsid w:val="00C31FC9"/>
    <w:rsid w:val="00C37A63"/>
    <w:rsid w:val="00C42248"/>
    <w:rsid w:val="00C46A36"/>
    <w:rsid w:val="00C47037"/>
    <w:rsid w:val="00C50235"/>
    <w:rsid w:val="00C509E3"/>
    <w:rsid w:val="00C53625"/>
    <w:rsid w:val="00C548BA"/>
    <w:rsid w:val="00C5679D"/>
    <w:rsid w:val="00C57784"/>
    <w:rsid w:val="00C602C1"/>
    <w:rsid w:val="00C63FC0"/>
    <w:rsid w:val="00C66392"/>
    <w:rsid w:val="00C7075D"/>
    <w:rsid w:val="00C73D09"/>
    <w:rsid w:val="00C74895"/>
    <w:rsid w:val="00C74C5E"/>
    <w:rsid w:val="00C82558"/>
    <w:rsid w:val="00C827A2"/>
    <w:rsid w:val="00C82B69"/>
    <w:rsid w:val="00C82C8E"/>
    <w:rsid w:val="00C82CB3"/>
    <w:rsid w:val="00C91B28"/>
    <w:rsid w:val="00C91F3A"/>
    <w:rsid w:val="00C93590"/>
    <w:rsid w:val="00CA31EA"/>
    <w:rsid w:val="00CA5446"/>
    <w:rsid w:val="00CB14E5"/>
    <w:rsid w:val="00CB218D"/>
    <w:rsid w:val="00CB5625"/>
    <w:rsid w:val="00CB5797"/>
    <w:rsid w:val="00CC1C17"/>
    <w:rsid w:val="00CC4F7F"/>
    <w:rsid w:val="00CC5D70"/>
    <w:rsid w:val="00CD09E1"/>
    <w:rsid w:val="00CE1780"/>
    <w:rsid w:val="00CE4913"/>
    <w:rsid w:val="00CE5AB2"/>
    <w:rsid w:val="00CE66BD"/>
    <w:rsid w:val="00CF0671"/>
    <w:rsid w:val="00CF247A"/>
    <w:rsid w:val="00CF44AD"/>
    <w:rsid w:val="00CF4D7C"/>
    <w:rsid w:val="00CF4FC0"/>
    <w:rsid w:val="00CF7486"/>
    <w:rsid w:val="00D00637"/>
    <w:rsid w:val="00D1072F"/>
    <w:rsid w:val="00D108A5"/>
    <w:rsid w:val="00D14585"/>
    <w:rsid w:val="00D153C8"/>
    <w:rsid w:val="00D17F98"/>
    <w:rsid w:val="00D20EFF"/>
    <w:rsid w:val="00D215B9"/>
    <w:rsid w:val="00D31324"/>
    <w:rsid w:val="00D40D69"/>
    <w:rsid w:val="00D4386E"/>
    <w:rsid w:val="00D51432"/>
    <w:rsid w:val="00D53ED8"/>
    <w:rsid w:val="00D541A0"/>
    <w:rsid w:val="00D616DD"/>
    <w:rsid w:val="00D64857"/>
    <w:rsid w:val="00D6493A"/>
    <w:rsid w:val="00D649A5"/>
    <w:rsid w:val="00D66833"/>
    <w:rsid w:val="00D67875"/>
    <w:rsid w:val="00D71E86"/>
    <w:rsid w:val="00D731C6"/>
    <w:rsid w:val="00D745C5"/>
    <w:rsid w:val="00D75327"/>
    <w:rsid w:val="00D77D6B"/>
    <w:rsid w:val="00D80C36"/>
    <w:rsid w:val="00D81A32"/>
    <w:rsid w:val="00D86EE1"/>
    <w:rsid w:val="00D95E90"/>
    <w:rsid w:val="00D96126"/>
    <w:rsid w:val="00DA2FD5"/>
    <w:rsid w:val="00DB4B1C"/>
    <w:rsid w:val="00DB5085"/>
    <w:rsid w:val="00DB619F"/>
    <w:rsid w:val="00DB7211"/>
    <w:rsid w:val="00DC1062"/>
    <w:rsid w:val="00DC132C"/>
    <w:rsid w:val="00DC181A"/>
    <w:rsid w:val="00DC5727"/>
    <w:rsid w:val="00DD43F0"/>
    <w:rsid w:val="00DD44DE"/>
    <w:rsid w:val="00DE09AB"/>
    <w:rsid w:val="00DE1DCC"/>
    <w:rsid w:val="00DE352F"/>
    <w:rsid w:val="00DE4A3F"/>
    <w:rsid w:val="00DE5A99"/>
    <w:rsid w:val="00DF4367"/>
    <w:rsid w:val="00DF7291"/>
    <w:rsid w:val="00E0574A"/>
    <w:rsid w:val="00E1243D"/>
    <w:rsid w:val="00E12742"/>
    <w:rsid w:val="00E146D4"/>
    <w:rsid w:val="00E14815"/>
    <w:rsid w:val="00E21D37"/>
    <w:rsid w:val="00E220ED"/>
    <w:rsid w:val="00E22B44"/>
    <w:rsid w:val="00E27700"/>
    <w:rsid w:val="00E30ACD"/>
    <w:rsid w:val="00E32735"/>
    <w:rsid w:val="00E34236"/>
    <w:rsid w:val="00E371FE"/>
    <w:rsid w:val="00E44B88"/>
    <w:rsid w:val="00E60DDB"/>
    <w:rsid w:val="00E65AD9"/>
    <w:rsid w:val="00E66E36"/>
    <w:rsid w:val="00E67F21"/>
    <w:rsid w:val="00E702ED"/>
    <w:rsid w:val="00E709A4"/>
    <w:rsid w:val="00E75917"/>
    <w:rsid w:val="00E772DB"/>
    <w:rsid w:val="00E86012"/>
    <w:rsid w:val="00E860CA"/>
    <w:rsid w:val="00E86BAB"/>
    <w:rsid w:val="00E92962"/>
    <w:rsid w:val="00E94E10"/>
    <w:rsid w:val="00E96743"/>
    <w:rsid w:val="00E96A42"/>
    <w:rsid w:val="00E97497"/>
    <w:rsid w:val="00EA16D5"/>
    <w:rsid w:val="00EA49C5"/>
    <w:rsid w:val="00EA6279"/>
    <w:rsid w:val="00EB5027"/>
    <w:rsid w:val="00EB6C87"/>
    <w:rsid w:val="00EC1836"/>
    <w:rsid w:val="00EC2F6E"/>
    <w:rsid w:val="00EC3990"/>
    <w:rsid w:val="00EC484B"/>
    <w:rsid w:val="00EC7E58"/>
    <w:rsid w:val="00ED15FA"/>
    <w:rsid w:val="00ED5C9F"/>
    <w:rsid w:val="00EE050C"/>
    <w:rsid w:val="00EE2113"/>
    <w:rsid w:val="00EE5730"/>
    <w:rsid w:val="00EE6E9A"/>
    <w:rsid w:val="00EF2AC4"/>
    <w:rsid w:val="00EF397E"/>
    <w:rsid w:val="00F0340C"/>
    <w:rsid w:val="00F06F68"/>
    <w:rsid w:val="00F11241"/>
    <w:rsid w:val="00F15E9D"/>
    <w:rsid w:val="00F23FA7"/>
    <w:rsid w:val="00F24C2D"/>
    <w:rsid w:val="00F27BEC"/>
    <w:rsid w:val="00F27D59"/>
    <w:rsid w:val="00F316E1"/>
    <w:rsid w:val="00F32155"/>
    <w:rsid w:val="00F32A81"/>
    <w:rsid w:val="00F40C82"/>
    <w:rsid w:val="00F4197F"/>
    <w:rsid w:val="00F46998"/>
    <w:rsid w:val="00F5382D"/>
    <w:rsid w:val="00F53D9C"/>
    <w:rsid w:val="00F54195"/>
    <w:rsid w:val="00F5462B"/>
    <w:rsid w:val="00F54653"/>
    <w:rsid w:val="00F54FAC"/>
    <w:rsid w:val="00F569DE"/>
    <w:rsid w:val="00F57205"/>
    <w:rsid w:val="00F634AD"/>
    <w:rsid w:val="00F63677"/>
    <w:rsid w:val="00F65B44"/>
    <w:rsid w:val="00F70658"/>
    <w:rsid w:val="00F7417E"/>
    <w:rsid w:val="00F75B81"/>
    <w:rsid w:val="00F761CA"/>
    <w:rsid w:val="00F804C4"/>
    <w:rsid w:val="00F80C7E"/>
    <w:rsid w:val="00F82F83"/>
    <w:rsid w:val="00F86097"/>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05F"/>
    <w:rsid w:val="00FB298D"/>
    <w:rsid w:val="00FB3171"/>
    <w:rsid w:val="00FB444E"/>
    <w:rsid w:val="00FC1439"/>
    <w:rsid w:val="00FC3F65"/>
    <w:rsid w:val="00FC5007"/>
    <w:rsid w:val="00FC70AD"/>
    <w:rsid w:val="00FC724B"/>
    <w:rsid w:val="00FC7910"/>
    <w:rsid w:val="00FD01E0"/>
    <w:rsid w:val="00FD50FC"/>
    <w:rsid w:val="00FE1627"/>
    <w:rsid w:val="00FE2D4E"/>
    <w:rsid w:val="00FE3F22"/>
    <w:rsid w:val="00FF092F"/>
    <w:rsid w:val="00FF0DA7"/>
    <w:rsid w:val="00FF2B09"/>
    <w:rsid w:val="00FF44E0"/>
    <w:rsid w:val="00FF6C72"/>
    <w:rsid w:val="01521C8D"/>
    <w:rsid w:val="01722E9F"/>
    <w:rsid w:val="01915CC2"/>
    <w:rsid w:val="01AB3A11"/>
    <w:rsid w:val="01C42B8B"/>
    <w:rsid w:val="01D0231A"/>
    <w:rsid w:val="021B4775"/>
    <w:rsid w:val="02306473"/>
    <w:rsid w:val="0251610C"/>
    <w:rsid w:val="02585D19"/>
    <w:rsid w:val="029307AF"/>
    <w:rsid w:val="029D28C9"/>
    <w:rsid w:val="02AE55E9"/>
    <w:rsid w:val="02EB0203"/>
    <w:rsid w:val="02FF5E45"/>
    <w:rsid w:val="03031E35"/>
    <w:rsid w:val="0355281D"/>
    <w:rsid w:val="0361440A"/>
    <w:rsid w:val="03634626"/>
    <w:rsid w:val="03710AF1"/>
    <w:rsid w:val="039E740C"/>
    <w:rsid w:val="03A378D6"/>
    <w:rsid w:val="03EF1A15"/>
    <w:rsid w:val="041B280B"/>
    <w:rsid w:val="041E18B8"/>
    <w:rsid w:val="044E2BE0"/>
    <w:rsid w:val="0451447E"/>
    <w:rsid w:val="045F16CA"/>
    <w:rsid w:val="04625BFB"/>
    <w:rsid w:val="04804DA9"/>
    <w:rsid w:val="048B3E34"/>
    <w:rsid w:val="05123C0E"/>
    <w:rsid w:val="057523EE"/>
    <w:rsid w:val="05972365"/>
    <w:rsid w:val="05A10D01"/>
    <w:rsid w:val="06420522"/>
    <w:rsid w:val="06640499"/>
    <w:rsid w:val="06782196"/>
    <w:rsid w:val="0680729D"/>
    <w:rsid w:val="069B6CAB"/>
    <w:rsid w:val="06AE129F"/>
    <w:rsid w:val="07266C48"/>
    <w:rsid w:val="072D20A4"/>
    <w:rsid w:val="073B420D"/>
    <w:rsid w:val="074D3623"/>
    <w:rsid w:val="07593D76"/>
    <w:rsid w:val="076F5347"/>
    <w:rsid w:val="07707311"/>
    <w:rsid w:val="077C1F7C"/>
    <w:rsid w:val="07C5765D"/>
    <w:rsid w:val="07E61381"/>
    <w:rsid w:val="08023127"/>
    <w:rsid w:val="080D4B60"/>
    <w:rsid w:val="083E07E8"/>
    <w:rsid w:val="08566507"/>
    <w:rsid w:val="086D7A09"/>
    <w:rsid w:val="08E753B1"/>
    <w:rsid w:val="08F216FE"/>
    <w:rsid w:val="091F0FEF"/>
    <w:rsid w:val="096D58B6"/>
    <w:rsid w:val="09727371"/>
    <w:rsid w:val="09932F33"/>
    <w:rsid w:val="09A909AA"/>
    <w:rsid w:val="09ED4C49"/>
    <w:rsid w:val="0A3A3D9D"/>
    <w:rsid w:val="0A3D35AB"/>
    <w:rsid w:val="0A542106"/>
    <w:rsid w:val="0A6C4667"/>
    <w:rsid w:val="0A7702DE"/>
    <w:rsid w:val="0A854E82"/>
    <w:rsid w:val="0AA417AC"/>
    <w:rsid w:val="0ABB08A3"/>
    <w:rsid w:val="0ABF65E6"/>
    <w:rsid w:val="0AD656DD"/>
    <w:rsid w:val="0AE75B3C"/>
    <w:rsid w:val="0B3348DE"/>
    <w:rsid w:val="0B667C07"/>
    <w:rsid w:val="0B786794"/>
    <w:rsid w:val="0BB974D9"/>
    <w:rsid w:val="0BBE711B"/>
    <w:rsid w:val="0BD47173"/>
    <w:rsid w:val="0BF00A21"/>
    <w:rsid w:val="0BF40511"/>
    <w:rsid w:val="0C0149DC"/>
    <w:rsid w:val="0C1B47F2"/>
    <w:rsid w:val="0C2D757F"/>
    <w:rsid w:val="0C4264AA"/>
    <w:rsid w:val="0C6157E5"/>
    <w:rsid w:val="0C7B02EA"/>
    <w:rsid w:val="0C915D60"/>
    <w:rsid w:val="0CC51EAD"/>
    <w:rsid w:val="0D112D0C"/>
    <w:rsid w:val="0D200E92"/>
    <w:rsid w:val="0D2F685C"/>
    <w:rsid w:val="0D4252AC"/>
    <w:rsid w:val="0D605732"/>
    <w:rsid w:val="0D865199"/>
    <w:rsid w:val="0DA83FA6"/>
    <w:rsid w:val="0DAC7B3F"/>
    <w:rsid w:val="0DB63633"/>
    <w:rsid w:val="0DFC545B"/>
    <w:rsid w:val="0E2A021A"/>
    <w:rsid w:val="0E7F7551"/>
    <w:rsid w:val="0EA0228A"/>
    <w:rsid w:val="0F451DFB"/>
    <w:rsid w:val="0F6839C2"/>
    <w:rsid w:val="0F753717"/>
    <w:rsid w:val="0FA364D6"/>
    <w:rsid w:val="0FAC0D64"/>
    <w:rsid w:val="10134A62"/>
    <w:rsid w:val="10607C4F"/>
    <w:rsid w:val="106E6418"/>
    <w:rsid w:val="10AD5132"/>
    <w:rsid w:val="10D4446D"/>
    <w:rsid w:val="11323C4E"/>
    <w:rsid w:val="113D64B6"/>
    <w:rsid w:val="114D2E9A"/>
    <w:rsid w:val="11531836"/>
    <w:rsid w:val="118F65E6"/>
    <w:rsid w:val="11DC7A7D"/>
    <w:rsid w:val="11E231E6"/>
    <w:rsid w:val="12142996"/>
    <w:rsid w:val="1222745A"/>
    <w:rsid w:val="12D71D5F"/>
    <w:rsid w:val="12E0534B"/>
    <w:rsid w:val="12F23C0D"/>
    <w:rsid w:val="12FA4EF2"/>
    <w:rsid w:val="1306142A"/>
    <w:rsid w:val="13160A9B"/>
    <w:rsid w:val="131C20FB"/>
    <w:rsid w:val="134143EC"/>
    <w:rsid w:val="13572D88"/>
    <w:rsid w:val="139323BD"/>
    <w:rsid w:val="139B3968"/>
    <w:rsid w:val="13BA5B9C"/>
    <w:rsid w:val="13E470BD"/>
    <w:rsid w:val="13F56BD4"/>
    <w:rsid w:val="13F82B68"/>
    <w:rsid w:val="14060DE1"/>
    <w:rsid w:val="14423DE3"/>
    <w:rsid w:val="144C5768"/>
    <w:rsid w:val="146F2E2A"/>
    <w:rsid w:val="1487491E"/>
    <w:rsid w:val="14952165"/>
    <w:rsid w:val="14BF5B00"/>
    <w:rsid w:val="14C31FAA"/>
    <w:rsid w:val="14D53EB9"/>
    <w:rsid w:val="151B7FB7"/>
    <w:rsid w:val="152754B3"/>
    <w:rsid w:val="15A77F2B"/>
    <w:rsid w:val="15B36D47"/>
    <w:rsid w:val="163C4F8E"/>
    <w:rsid w:val="164B0D40"/>
    <w:rsid w:val="167B6427"/>
    <w:rsid w:val="16A3500D"/>
    <w:rsid w:val="16B27D38"/>
    <w:rsid w:val="16D245C0"/>
    <w:rsid w:val="16FE0496"/>
    <w:rsid w:val="170F61FF"/>
    <w:rsid w:val="17481711"/>
    <w:rsid w:val="178F10EE"/>
    <w:rsid w:val="179D2269"/>
    <w:rsid w:val="17C4348D"/>
    <w:rsid w:val="18151E47"/>
    <w:rsid w:val="18BA663E"/>
    <w:rsid w:val="1930691F"/>
    <w:rsid w:val="19696B66"/>
    <w:rsid w:val="19960E59"/>
    <w:rsid w:val="19A76BC3"/>
    <w:rsid w:val="19C74C01"/>
    <w:rsid w:val="19D13C3F"/>
    <w:rsid w:val="19E00326"/>
    <w:rsid w:val="1A2A51D0"/>
    <w:rsid w:val="1A3D7527"/>
    <w:rsid w:val="1A6528FE"/>
    <w:rsid w:val="1A824F3A"/>
    <w:rsid w:val="1A835004"/>
    <w:rsid w:val="1A9058A9"/>
    <w:rsid w:val="1A9A04D5"/>
    <w:rsid w:val="1AB25BC6"/>
    <w:rsid w:val="1AB87E7C"/>
    <w:rsid w:val="1B050711"/>
    <w:rsid w:val="1B76030C"/>
    <w:rsid w:val="1B79633D"/>
    <w:rsid w:val="1BA61F6F"/>
    <w:rsid w:val="1BC51582"/>
    <w:rsid w:val="1BCB2228"/>
    <w:rsid w:val="1BCF41AF"/>
    <w:rsid w:val="1BFB0F3C"/>
    <w:rsid w:val="1C2C1601"/>
    <w:rsid w:val="1C4032FE"/>
    <w:rsid w:val="1C573CFA"/>
    <w:rsid w:val="1C63029E"/>
    <w:rsid w:val="1C715A71"/>
    <w:rsid w:val="1C817B9F"/>
    <w:rsid w:val="1CA93E55"/>
    <w:rsid w:val="1CC921E7"/>
    <w:rsid w:val="1D167BBB"/>
    <w:rsid w:val="1D1C4205"/>
    <w:rsid w:val="1D444EB6"/>
    <w:rsid w:val="1D65301C"/>
    <w:rsid w:val="1D6F5768"/>
    <w:rsid w:val="1DA840EB"/>
    <w:rsid w:val="1DC600DA"/>
    <w:rsid w:val="1DDF4451"/>
    <w:rsid w:val="1E075E82"/>
    <w:rsid w:val="1E2928CE"/>
    <w:rsid w:val="1E5310C7"/>
    <w:rsid w:val="1E6C03DB"/>
    <w:rsid w:val="1E8A0861"/>
    <w:rsid w:val="1E9811D0"/>
    <w:rsid w:val="1ECB3353"/>
    <w:rsid w:val="1EDD6BE3"/>
    <w:rsid w:val="1F3E1D77"/>
    <w:rsid w:val="1F7E34F3"/>
    <w:rsid w:val="1FCD6C57"/>
    <w:rsid w:val="1FE50445"/>
    <w:rsid w:val="201B28B0"/>
    <w:rsid w:val="202C43E4"/>
    <w:rsid w:val="203B62B7"/>
    <w:rsid w:val="20C0056A"/>
    <w:rsid w:val="20C16461"/>
    <w:rsid w:val="20FF5536"/>
    <w:rsid w:val="21042B4C"/>
    <w:rsid w:val="211D776A"/>
    <w:rsid w:val="21466CC1"/>
    <w:rsid w:val="217952E8"/>
    <w:rsid w:val="2185512D"/>
    <w:rsid w:val="21B843D9"/>
    <w:rsid w:val="21D818E3"/>
    <w:rsid w:val="21DE339D"/>
    <w:rsid w:val="21F37F51"/>
    <w:rsid w:val="21F97340"/>
    <w:rsid w:val="2253544B"/>
    <w:rsid w:val="226F2197"/>
    <w:rsid w:val="229E3AD3"/>
    <w:rsid w:val="22B91715"/>
    <w:rsid w:val="22CA3770"/>
    <w:rsid w:val="23146520"/>
    <w:rsid w:val="231921B3"/>
    <w:rsid w:val="23333E92"/>
    <w:rsid w:val="233B63E4"/>
    <w:rsid w:val="23435F11"/>
    <w:rsid w:val="23536DBA"/>
    <w:rsid w:val="23585502"/>
    <w:rsid w:val="23596C26"/>
    <w:rsid w:val="23B430A3"/>
    <w:rsid w:val="24066BDB"/>
    <w:rsid w:val="24127792"/>
    <w:rsid w:val="24174945"/>
    <w:rsid w:val="241E3F25"/>
    <w:rsid w:val="24213A15"/>
    <w:rsid w:val="244F06AA"/>
    <w:rsid w:val="24577437"/>
    <w:rsid w:val="2492221D"/>
    <w:rsid w:val="24CA590D"/>
    <w:rsid w:val="24DC16EA"/>
    <w:rsid w:val="24EA2059"/>
    <w:rsid w:val="24FB4266"/>
    <w:rsid w:val="24FB7DC2"/>
    <w:rsid w:val="2551032A"/>
    <w:rsid w:val="25583467"/>
    <w:rsid w:val="25866352"/>
    <w:rsid w:val="25BC4456"/>
    <w:rsid w:val="25CD79B1"/>
    <w:rsid w:val="261A0BE6"/>
    <w:rsid w:val="262D78EB"/>
    <w:rsid w:val="263C4B36"/>
    <w:rsid w:val="268C5772"/>
    <w:rsid w:val="26B96187"/>
    <w:rsid w:val="26F75CDB"/>
    <w:rsid w:val="27232340"/>
    <w:rsid w:val="27475541"/>
    <w:rsid w:val="27514612"/>
    <w:rsid w:val="27750300"/>
    <w:rsid w:val="27CA60F4"/>
    <w:rsid w:val="27E85AF1"/>
    <w:rsid w:val="27EC60E8"/>
    <w:rsid w:val="27F31225"/>
    <w:rsid w:val="28277120"/>
    <w:rsid w:val="283C2BCC"/>
    <w:rsid w:val="28656A33"/>
    <w:rsid w:val="28785E86"/>
    <w:rsid w:val="28C929C1"/>
    <w:rsid w:val="29033AAB"/>
    <w:rsid w:val="29220014"/>
    <w:rsid w:val="295220BC"/>
    <w:rsid w:val="2953641F"/>
    <w:rsid w:val="296C6122"/>
    <w:rsid w:val="29752839"/>
    <w:rsid w:val="29B25C45"/>
    <w:rsid w:val="29B9024C"/>
    <w:rsid w:val="29DA6B0B"/>
    <w:rsid w:val="29DB6B11"/>
    <w:rsid w:val="2A093B18"/>
    <w:rsid w:val="2A705CDB"/>
    <w:rsid w:val="2A8D7B4E"/>
    <w:rsid w:val="2AA66A22"/>
    <w:rsid w:val="2ABD245A"/>
    <w:rsid w:val="2B412386"/>
    <w:rsid w:val="2B42499D"/>
    <w:rsid w:val="2B4A7350"/>
    <w:rsid w:val="2B6568DD"/>
    <w:rsid w:val="2B9845BD"/>
    <w:rsid w:val="2BAA609E"/>
    <w:rsid w:val="2BB34FD2"/>
    <w:rsid w:val="2BD870AF"/>
    <w:rsid w:val="2BE879B1"/>
    <w:rsid w:val="2BFF63EA"/>
    <w:rsid w:val="2C0E2AD1"/>
    <w:rsid w:val="2C267E1B"/>
    <w:rsid w:val="2C4A1610"/>
    <w:rsid w:val="2C6E3570"/>
    <w:rsid w:val="2C77062D"/>
    <w:rsid w:val="2C840FE5"/>
    <w:rsid w:val="2C9A2F15"/>
    <w:rsid w:val="2CCB6C14"/>
    <w:rsid w:val="2CCE571D"/>
    <w:rsid w:val="2CD258AD"/>
    <w:rsid w:val="2CEA687B"/>
    <w:rsid w:val="2CF47F19"/>
    <w:rsid w:val="2D1633EB"/>
    <w:rsid w:val="2D83129D"/>
    <w:rsid w:val="2DB43204"/>
    <w:rsid w:val="2DB72CF5"/>
    <w:rsid w:val="2DC93154"/>
    <w:rsid w:val="2DDD09AD"/>
    <w:rsid w:val="2DE16C1F"/>
    <w:rsid w:val="2E1B2EA1"/>
    <w:rsid w:val="2E63511A"/>
    <w:rsid w:val="2E991DFC"/>
    <w:rsid w:val="2EB35320"/>
    <w:rsid w:val="2EC13E2B"/>
    <w:rsid w:val="2EEE0998"/>
    <w:rsid w:val="2F111D48"/>
    <w:rsid w:val="2F317872"/>
    <w:rsid w:val="2F3E547B"/>
    <w:rsid w:val="2F3F0C54"/>
    <w:rsid w:val="2F4615DA"/>
    <w:rsid w:val="2FED29FE"/>
    <w:rsid w:val="30157C6C"/>
    <w:rsid w:val="30273D1D"/>
    <w:rsid w:val="30360848"/>
    <w:rsid w:val="30393E95"/>
    <w:rsid w:val="306A4719"/>
    <w:rsid w:val="30803872"/>
    <w:rsid w:val="30894E1C"/>
    <w:rsid w:val="30ED2B9B"/>
    <w:rsid w:val="30FD7AF6"/>
    <w:rsid w:val="31197749"/>
    <w:rsid w:val="314E571E"/>
    <w:rsid w:val="31CD1BEC"/>
    <w:rsid w:val="31DE0CE5"/>
    <w:rsid w:val="31F47530"/>
    <w:rsid w:val="321E1D54"/>
    <w:rsid w:val="322C1F03"/>
    <w:rsid w:val="32650F71"/>
    <w:rsid w:val="326907CD"/>
    <w:rsid w:val="32691053"/>
    <w:rsid w:val="32A538A5"/>
    <w:rsid w:val="32A55811"/>
    <w:rsid w:val="32FE389F"/>
    <w:rsid w:val="330E360D"/>
    <w:rsid w:val="33152997"/>
    <w:rsid w:val="33263C60"/>
    <w:rsid w:val="3344502A"/>
    <w:rsid w:val="338F013D"/>
    <w:rsid w:val="33B37D2E"/>
    <w:rsid w:val="33CB12A8"/>
    <w:rsid w:val="34126ED7"/>
    <w:rsid w:val="341B3FDD"/>
    <w:rsid w:val="3423303B"/>
    <w:rsid w:val="34256C0A"/>
    <w:rsid w:val="345614B9"/>
    <w:rsid w:val="347100A1"/>
    <w:rsid w:val="34845A3F"/>
    <w:rsid w:val="3486639C"/>
    <w:rsid w:val="34BF705E"/>
    <w:rsid w:val="352620DC"/>
    <w:rsid w:val="35367B76"/>
    <w:rsid w:val="354B6B5E"/>
    <w:rsid w:val="354E3F3E"/>
    <w:rsid w:val="35675000"/>
    <w:rsid w:val="35827561"/>
    <w:rsid w:val="35A25BB6"/>
    <w:rsid w:val="35A46254"/>
    <w:rsid w:val="35AC585D"/>
    <w:rsid w:val="35BD0AE1"/>
    <w:rsid w:val="35E5310F"/>
    <w:rsid w:val="36203B2D"/>
    <w:rsid w:val="3661430F"/>
    <w:rsid w:val="36981915"/>
    <w:rsid w:val="369D587E"/>
    <w:rsid w:val="36A52284"/>
    <w:rsid w:val="36B349A1"/>
    <w:rsid w:val="36CF1D5D"/>
    <w:rsid w:val="36DB7A54"/>
    <w:rsid w:val="36E26C96"/>
    <w:rsid w:val="36E92171"/>
    <w:rsid w:val="36FF1994"/>
    <w:rsid w:val="37070849"/>
    <w:rsid w:val="3707096C"/>
    <w:rsid w:val="370F3BF6"/>
    <w:rsid w:val="37427AD3"/>
    <w:rsid w:val="374B4BD9"/>
    <w:rsid w:val="377E1EC2"/>
    <w:rsid w:val="378620B5"/>
    <w:rsid w:val="37AC3D63"/>
    <w:rsid w:val="37CC21E5"/>
    <w:rsid w:val="37EB016A"/>
    <w:rsid w:val="37EE2D0A"/>
    <w:rsid w:val="37F92887"/>
    <w:rsid w:val="3825367C"/>
    <w:rsid w:val="38286FB8"/>
    <w:rsid w:val="383218F5"/>
    <w:rsid w:val="385775AE"/>
    <w:rsid w:val="387B14EE"/>
    <w:rsid w:val="38B73ED6"/>
    <w:rsid w:val="38E52A39"/>
    <w:rsid w:val="39086B81"/>
    <w:rsid w:val="391C09CE"/>
    <w:rsid w:val="39293004"/>
    <w:rsid w:val="39406294"/>
    <w:rsid w:val="395A1104"/>
    <w:rsid w:val="39785A2E"/>
    <w:rsid w:val="39882115"/>
    <w:rsid w:val="39B003B6"/>
    <w:rsid w:val="39E10D60"/>
    <w:rsid w:val="39F5707E"/>
    <w:rsid w:val="3A03179B"/>
    <w:rsid w:val="3A08344B"/>
    <w:rsid w:val="3A0D261A"/>
    <w:rsid w:val="3A8A77C7"/>
    <w:rsid w:val="3ABC687E"/>
    <w:rsid w:val="3AFE3587"/>
    <w:rsid w:val="3B2B584C"/>
    <w:rsid w:val="3B6C0B91"/>
    <w:rsid w:val="3B9308FD"/>
    <w:rsid w:val="3BA40D5C"/>
    <w:rsid w:val="3BD50F16"/>
    <w:rsid w:val="3BFC5E74"/>
    <w:rsid w:val="3C0059BB"/>
    <w:rsid w:val="3C5F3E33"/>
    <w:rsid w:val="3C905550"/>
    <w:rsid w:val="3CC64D02"/>
    <w:rsid w:val="3DA768E2"/>
    <w:rsid w:val="3DBE6D90"/>
    <w:rsid w:val="3DD0408A"/>
    <w:rsid w:val="3DEC0798"/>
    <w:rsid w:val="3DF37D79"/>
    <w:rsid w:val="3E2148E6"/>
    <w:rsid w:val="3E235330"/>
    <w:rsid w:val="3E3C527C"/>
    <w:rsid w:val="3E6F1E22"/>
    <w:rsid w:val="3E703177"/>
    <w:rsid w:val="3E8F3E1C"/>
    <w:rsid w:val="3E970704"/>
    <w:rsid w:val="3ECA2888"/>
    <w:rsid w:val="3ECC2AA4"/>
    <w:rsid w:val="3EF773F5"/>
    <w:rsid w:val="3F0B2EA0"/>
    <w:rsid w:val="3F1317CD"/>
    <w:rsid w:val="3F185CE9"/>
    <w:rsid w:val="3F406FEE"/>
    <w:rsid w:val="3F49401E"/>
    <w:rsid w:val="3F5E4365"/>
    <w:rsid w:val="3F76656C"/>
    <w:rsid w:val="3FE0711F"/>
    <w:rsid w:val="3FEA2868"/>
    <w:rsid w:val="4037219F"/>
    <w:rsid w:val="40B732E0"/>
    <w:rsid w:val="40C63523"/>
    <w:rsid w:val="410B7187"/>
    <w:rsid w:val="410C5AAF"/>
    <w:rsid w:val="41200E85"/>
    <w:rsid w:val="41232723"/>
    <w:rsid w:val="415470E2"/>
    <w:rsid w:val="41556814"/>
    <w:rsid w:val="4157061F"/>
    <w:rsid w:val="418A4550"/>
    <w:rsid w:val="41A37D9D"/>
    <w:rsid w:val="41AF5742"/>
    <w:rsid w:val="41BB759E"/>
    <w:rsid w:val="42415557"/>
    <w:rsid w:val="42A72EE0"/>
    <w:rsid w:val="42B740A7"/>
    <w:rsid w:val="42C817D4"/>
    <w:rsid w:val="42DA5063"/>
    <w:rsid w:val="42F167AD"/>
    <w:rsid w:val="43192030"/>
    <w:rsid w:val="43222604"/>
    <w:rsid w:val="432D2471"/>
    <w:rsid w:val="433871A5"/>
    <w:rsid w:val="43397FDC"/>
    <w:rsid w:val="434150E2"/>
    <w:rsid w:val="434846C3"/>
    <w:rsid w:val="4353477A"/>
    <w:rsid w:val="43A318F9"/>
    <w:rsid w:val="43AA5B8C"/>
    <w:rsid w:val="43B753A5"/>
    <w:rsid w:val="43C05511"/>
    <w:rsid w:val="43E4467E"/>
    <w:rsid w:val="442A3DC9"/>
    <w:rsid w:val="444924A1"/>
    <w:rsid w:val="4469669F"/>
    <w:rsid w:val="446B6021"/>
    <w:rsid w:val="446C618F"/>
    <w:rsid w:val="4492209A"/>
    <w:rsid w:val="44C10289"/>
    <w:rsid w:val="44C4421D"/>
    <w:rsid w:val="44C63AF1"/>
    <w:rsid w:val="45336CAD"/>
    <w:rsid w:val="453E7B2C"/>
    <w:rsid w:val="454A380C"/>
    <w:rsid w:val="45A8769B"/>
    <w:rsid w:val="45AC718B"/>
    <w:rsid w:val="45FC7108"/>
    <w:rsid w:val="463B7823"/>
    <w:rsid w:val="464D5877"/>
    <w:rsid w:val="46B042F8"/>
    <w:rsid w:val="46DF70EC"/>
    <w:rsid w:val="46E75FA1"/>
    <w:rsid w:val="46FC7C9E"/>
    <w:rsid w:val="473A7BED"/>
    <w:rsid w:val="476B0980"/>
    <w:rsid w:val="477C0DDF"/>
    <w:rsid w:val="47863A67"/>
    <w:rsid w:val="478F71C4"/>
    <w:rsid w:val="479954ED"/>
    <w:rsid w:val="47D44777"/>
    <w:rsid w:val="4821786A"/>
    <w:rsid w:val="4825146D"/>
    <w:rsid w:val="485B09F4"/>
    <w:rsid w:val="48D10CB7"/>
    <w:rsid w:val="48DA0D16"/>
    <w:rsid w:val="48EC56D9"/>
    <w:rsid w:val="48FD2C92"/>
    <w:rsid w:val="490374A7"/>
    <w:rsid w:val="49153299"/>
    <w:rsid w:val="49883A6B"/>
    <w:rsid w:val="4A1B48DF"/>
    <w:rsid w:val="4A1E05B6"/>
    <w:rsid w:val="4A5676C5"/>
    <w:rsid w:val="4A6169D0"/>
    <w:rsid w:val="4A6A13C3"/>
    <w:rsid w:val="4A9D70A2"/>
    <w:rsid w:val="4AA743C5"/>
    <w:rsid w:val="4AB10DA0"/>
    <w:rsid w:val="4B014864"/>
    <w:rsid w:val="4B11183E"/>
    <w:rsid w:val="4B1355B6"/>
    <w:rsid w:val="4B2551F5"/>
    <w:rsid w:val="4B3F63AB"/>
    <w:rsid w:val="4B4A79AF"/>
    <w:rsid w:val="4B6B0F4E"/>
    <w:rsid w:val="4B8244EA"/>
    <w:rsid w:val="4B84281F"/>
    <w:rsid w:val="4B954E7C"/>
    <w:rsid w:val="4BB46D99"/>
    <w:rsid w:val="4BD20FCE"/>
    <w:rsid w:val="4C213D03"/>
    <w:rsid w:val="4C3954F1"/>
    <w:rsid w:val="4C6D68CD"/>
    <w:rsid w:val="4C7223A4"/>
    <w:rsid w:val="4C7327B1"/>
    <w:rsid w:val="4C9444D5"/>
    <w:rsid w:val="4D0B334A"/>
    <w:rsid w:val="4D3637DE"/>
    <w:rsid w:val="4D53613E"/>
    <w:rsid w:val="4D6F2111"/>
    <w:rsid w:val="4DB35167"/>
    <w:rsid w:val="4DC332C4"/>
    <w:rsid w:val="4DC72EBD"/>
    <w:rsid w:val="4DE0665B"/>
    <w:rsid w:val="4DF179C1"/>
    <w:rsid w:val="4DF3347D"/>
    <w:rsid w:val="4E196C3E"/>
    <w:rsid w:val="4E6B046C"/>
    <w:rsid w:val="4E707289"/>
    <w:rsid w:val="4E7E543D"/>
    <w:rsid w:val="4E9E4717"/>
    <w:rsid w:val="4EA17B86"/>
    <w:rsid w:val="4EAA4484"/>
    <w:rsid w:val="4EE259CC"/>
    <w:rsid w:val="4EEA3D40"/>
    <w:rsid w:val="4EFB4CDF"/>
    <w:rsid w:val="4F00728A"/>
    <w:rsid w:val="4F0F42E7"/>
    <w:rsid w:val="4F134B35"/>
    <w:rsid w:val="4F1F09CE"/>
    <w:rsid w:val="4F2374B4"/>
    <w:rsid w:val="4F2A1121"/>
    <w:rsid w:val="4F310701"/>
    <w:rsid w:val="4F3F6AB1"/>
    <w:rsid w:val="4F5B577E"/>
    <w:rsid w:val="4F5D071B"/>
    <w:rsid w:val="4F6C6E86"/>
    <w:rsid w:val="4F9B688F"/>
    <w:rsid w:val="4F9C3DCC"/>
    <w:rsid w:val="4FB07878"/>
    <w:rsid w:val="4FC41575"/>
    <w:rsid w:val="4FF84FB4"/>
    <w:rsid w:val="4FFA0AF3"/>
    <w:rsid w:val="50120532"/>
    <w:rsid w:val="5039786D"/>
    <w:rsid w:val="507A5E86"/>
    <w:rsid w:val="5080549C"/>
    <w:rsid w:val="50964CC0"/>
    <w:rsid w:val="50A0169A"/>
    <w:rsid w:val="50CC248F"/>
    <w:rsid w:val="50EC48E0"/>
    <w:rsid w:val="50FE0AB7"/>
    <w:rsid w:val="51736DAF"/>
    <w:rsid w:val="51AC0513"/>
    <w:rsid w:val="52065E75"/>
    <w:rsid w:val="5224204A"/>
    <w:rsid w:val="52374280"/>
    <w:rsid w:val="523B69DF"/>
    <w:rsid w:val="528D25DE"/>
    <w:rsid w:val="52C80FB1"/>
    <w:rsid w:val="52C92F68"/>
    <w:rsid w:val="52E4674E"/>
    <w:rsid w:val="52F9084C"/>
    <w:rsid w:val="53034162"/>
    <w:rsid w:val="53065A01"/>
    <w:rsid w:val="530C74BB"/>
    <w:rsid w:val="532049DD"/>
    <w:rsid w:val="53603363"/>
    <w:rsid w:val="538D3F6C"/>
    <w:rsid w:val="53C90F08"/>
    <w:rsid w:val="53CF4C12"/>
    <w:rsid w:val="53E06252"/>
    <w:rsid w:val="53FB16D5"/>
    <w:rsid w:val="5402441A"/>
    <w:rsid w:val="54087D99"/>
    <w:rsid w:val="543B100E"/>
    <w:rsid w:val="544467E1"/>
    <w:rsid w:val="544762D1"/>
    <w:rsid w:val="547A48F8"/>
    <w:rsid w:val="54A72003"/>
    <w:rsid w:val="54E83610"/>
    <w:rsid w:val="550F5041"/>
    <w:rsid w:val="55141E73"/>
    <w:rsid w:val="5520724E"/>
    <w:rsid w:val="5587107B"/>
    <w:rsid w:val="55EF09CE"/>
    <w:rsid w:val="55F12998"/>
    <w:rsid w:val="55FF18B1"/>
    <w:rsid w:val="56023921"/>
    <w:rsid w:val="564E3947"/>
    <w:rsid w:val="56574EF1"/>
    <w:rsid w:val="565A22EB"/>
    <w:rsid w:val="567D450A"/>
    <w:rsid w:val="569E48CE"/>
    <w:rsid w:val="56BB5CB7"/>
    <w:rsid w:val="56CD0D0F"/>
    <w:rsid w:val="56DC71A4"/>
    <w:rsid w:val="56DC773A"/>
    <w:rsid w:val="57504E2F"/>
    <w:rsid w:val="578A30DC"/>
    <w:rsid w:val="5809250B"/>
    <w:rsid w:val="58226E39"/>
    <w:rsid w:val="58366D88"/>
    <w:rsid w:val="588B70D4"/>
    <w:rsid w:val="589F66DB"/>
    <w:rsid w:val="58B02697"/>
    <w:rsid w:val="58C06A33"/>
    <w:rsid w:val="58E24B57"/>
    <w:rsid w:val="591A0066"/>
    <w:rsid w:val="59281992"/>
    <w:rsid w:val="592D42A4"/>
    <w:rsid w:val="596F0ADA"/>
    <w:rsid w:val="59741916"/>
    <w:rsid w:val="59745DBA"/>
    <w:rsid w:val="597E4543"/>
    <w:rsid w:val="598A06CA"/>
    <w:rsid w:val="598E2539"/>
    <w:rsid w:val="5A1629CD"/>
    <w:rsid w:val="5A2502DA"/>
    <w:rsid w:val="5A3617D9"/>
    <w:rsid w:val="5A4968FF"/>
    <w:rsid w:val="5A4B6B1B"/>
    <w:rsid w:val="5A7F6B6C"/>
    <w:rsid w:val="5A867158"/>
    <w:rsid w:val="5AAE2C06"/>
    <w:rsid w:val="5ABC3575"/>
    <w:rsid w:val="5ADE553D"/>
    <w:rsid w:val="5AE91E90"/>
    <w:rsid w:val="5AF2343A"/>
    <w:rsid w:val="5AFB613D"/>
    <w:rsid w:val="5B24111A"/>
    <w:rsid w:val="5B435A44"/>
    <w:rsid w:val="5B884B20"/>
    <w:rsid w:val="5BB22BCA"/>
    <w:rsid w:val="5BC0556E"/>
    <w:rsid w:val="5BC81C40"/>
    <w:rsid w:val="5BFD2097"/>
    <w:rsid w:val="5C0B57D4"/>
    <w:rsid w:val="5C50666A"/>
    <w:rsid w:val="5C643EC4"/>
    <w:rsid w:val="5C7F1F20"/>
    <w:rsid w:val="5C835A00"/>
    <w:rsid w:val="5C936557"/>
    <w:rsid w:val="5CBF559E"/>
    <w:rsid w:val="5CF97E35"/>
    <w:rsid w:val="5D532DB4"/>
    <w:rsid w:val="5D823C66"/>
    <w:rsid w:val="5D9562FF"/>
    <w:rsid w:val="5DA327CA"/>
    <w:rsid w:val="5DB22A0D"/>
    <w:rsid w:val="5DD62B9F"/>
    <w:rsid w:val="5DEF17B3"/>
    <w:rsid w:val="5E03770C"/>
    <w:rsid w:val="5E1B4A56"/>
    <w:rsid w:val="5E3A3003"/>
    <w:rsid w:val="5E3B0C54"/>
    <w:rsid w:val="5E7E6D93"/>
    <w:rsid w:val="5E895E64"/>
    <w:rsid w:val="5E8F3317"/>
    <w:rsid w:val="5E960581"/>
    <w:rsid w:val="5EE709A4"/>
    <w:rsid w:val="5EF8303D"/>
    <w:rsid w:val="5EF86B45"/>
    <w:rsid w:val="5F100333"/>
    <w:rsid w:val="5F447FDD"/>
    <w:rsid w:val="5F4504C4"/>
    <w:rsid w:val="5F9C5723"/>
    <w:rsid w:val="5F9E76ED"/>
    <w:rsid w:val="5FB962D5"/>
    <w:rsid w:val="5FC1162D"/>
    <w:rsid w:val="5FC726C5"/>
    <w:rsid w:val="5FD74633"/>
    <w:rsid w:val="5FF76DFD"/>
    <w:rsid w:val="604D2EC1"/>
    <w:rsid w:val="60574926"/>
    <w:rsid w:val="6098413C"/>
    <w:rsid w:val="609B00D0"/>
    <w:rsid w:val="60B44CEE"/>
    <w:rsid w:val="60E412C0"/>
    <w:rsid w:val="6109503A"/>
    <w:rsid w:val="61416F4F"/>
    <w:rsid w:val="618B3CA1"/>
    <w:rsid w:val="61BC02FE"/>
    <w:rsid w:val="61E323AE"/>
    <w:rsid w:val="61EF2482"/>
    <w:rsid w:val="61F509FD"/>
    <w:rsid w:val="62061579"/>
    <w:rsid w:val="623331AC"/>
    <w:rsid w:val="62467BC8"/>
    <w:rsid w:val="62571DD5"/>
    <w:rsid w:val="625772C4"/>
    <w:rsid w:val="626926CD"/>
    <w:rsid w:val="62992D43"/>
    <w:rsid w:val="62A82630"/>
    <w:rsid w:val="62D84DEF"/>
    <w:rsid w:val="630261E5"/>
    <w:rsid w:val="63343EC4"/>
    <w:rsid w:val="636F3034"/>
    <w:rsid w:val="63880BF6"/>
    <w:rsid w:val="63BF5E84"/>
    <w:rsid w:val="63E65D16"/>
    <w:rsid w:val="64030466"/>
    <w:rsid w:val="64357EF4"/>
    <w:rsid w:val="647E7AED"/>
    <w:rsid w:val="64835103"/>
    <w:rsid w:val="648844C8"/>
    <w:rsid w:val="64D22CD7"/>
    <w:rsid w:val="64ED6D90"/>
    <w:rsid w:val="6504083A"/>
    <w:rsid w:val="650516A8"/>
    <w:rsid w:val="65330581"/>
    <w:rsid w:val="65444892"/>
    <w:rsid w:val="657038D9"/>
    <w:rsid w:val="65830E72"/>
    <w:rsid w:val="65C62E15"/>
    <w:rsid w:val="65E971E8"/>
    <w:rsid w:val="65F8742B"/>
    <w:rsid w:val="660A2A6B"/>
    <w:rsid w:val="663F505A"/>
    <w:rsid w:val="667747F4"/>
    <w:rsid w:val="66911D59"/>
    <w:rsid w:val="669E7FD2"/>
    <w:rsid w:val="66B141AA"/>
    <w:rsid w:val="66E81280"/>
    <w:rsid w:val="670D78F5"/>
    <w:rsid w:val="67340937"/>
    <w:rsid w:val="67A82870"/>
    <w:rsid w:val="67D16185"/>
    <w:rsid w:val="67F02AB0"/>
    <w:rsid w:val="68182006"/>
    <w:rsid w:val="68A37B22"/>
    <w:rsid w:val="68AE296F"/>
    <w:rsid w:val="69110DD3"/>
    <w:rsid w:val="691D526F"/>
    <w:rsid w:val="693D1D24"/>
    <w:rsid w:val="69676D3F"/>
    <w:rsid w:val="697E59BE"/>
    <w:rsid w:val="69935128"/>
    <w:rsid w:val="699D27C3"/>
    <w:rsid w:val="69BE4A64"/>
    <w:rsid w:val="69CC30A8"/>
    <w:rsid w:val="69CF3DD6"/>
    <w:rsid w:val="69D72179"/>
    <w:rsid w:val="69DC3B22"/>
    <w:rsid w:val="69F14CBF"/>
    <w:rsid w:val="6A2E3597"/>
    <w:rsid w:val="6A31115D"/>
    <w:rsid w:val="6A5956B7"/>
    <w:rsid w:val="6AD246EE"/>
    <w:rsid w:val="6AE34B4E"/>
    <w:rsid w:val="6B5B0B88"/>
    <w:rsid w:val="6BC77FCB"/>
    <w:rsid w:val="6BC93D43"/>
    <w:rsid w:val="6C240F7A"/>
    <w:rsid w:val="6C4D6722"/>
    <w:rsid w:val="6C521A13"/>
    <w:rsid w:val="6C5B4D4B"/>
    <w:rsid w:val="6C8D150C"/>
    <w:rsid w:val="6C9C1458"/>
    <w:rsid w:val="6CB26586"/>
    <w:rsid w:val="6CB56076"/>
    <w:rsid w:val="6CE30E35"/>
    <w:rsid w:val="6CE35249"/>
    <w:rsid w:val="6D022FCF"/>
    <w:rsid w:val="6D4F64CA"/>
    <w:rsid w:val="6D5A614B"/>
    <w:rsid w:val="6D741A8D"/>
    <w:rsid w:val="6D747CDF"/>
    <w:rsid w:val="6D9E4D5C"/>
    <w:rsid w:val="6DDD5884"/>
    <w:rsid w:val="6E0C7F17"/>
    <w:rsid w:val="6E2B2A93"/>
    <w:rsid w:val="6E2C05BA"/>
    <w:rsid w:val="6E3522E8"/>
    <w:rsid w:val="6E39711A"/>
    <w:rsid w:val="6E5D69C5"/>
    <w:rsid w:val="6E7453A1"/>
    <w:rsid w:val="6E7736D4"/>
    <w:rsid w:val="6E98699D"/>
    <w:rsid w:val="6E997D6C"/>
    <w:rsid w:val="6E9A5523"/>
    <w:rsid w:val="6EC24A7A"/>
    <w:rsid w:val="6ED044E2"/>
    <w:rsid w:val="6ED06684"/>
    <w:rsid w:val="6EEF1D13"/>
    <w:rsid w:val="6EF616F6"/>
    <w:rsid w:val="6F062BB9"/>
    <w:rsid w:val="6F17534A"/>
    <w:rsid w:val="6F5778B8"/>
    <w:rsid w:val="6F5D575B"/>
    <w:rsid w:val="6F6049BF"/>
    <w:rsid w:val="6F814935"/>
    <w:rsid w:val="6F8C7562"/>
    <w:rsid w:val="6F9E1043"/>
    <w:rsid w:val="6FB87E05"/>
    <w:rsid w:val="6FCA008A"/>
    <w:rsid w:val="70001CFE"/>
    <w:rsid w:val="700B74D8"/>
    <w:rsid w:val="700F1F41"/>
    <w:rsid w:val="70683F95"/>
    <w:rsid w:val="70721D98"/>
    <w:rsid w:val="70B74870"/>
    <w:rsid w:val="70C04FE9"/>
    <w:rsid w:val="70EF0F1F"/>
    <w:rsid w:val="70FB2903"/>
    <w:rsid w:val="711C66C3"/>
    <w:rsid w:val="712F0BF3"/>
    <w:rsid w:val="713003C1"/>
    <w:rsid w:val="71467526"/>
    <w:rsid w:val="71A566B9"/>
    <w:rsid w:val="720930EC"/>
    <w:rsid w:val="729D1A86"/>
    <w:rsid w:val="72DB610A"/>
    <w:rsid w:val="72FA2A34"/>
    <w:rsid w:val="736B1B84"/>
    <w:rsid w:val="737259EB"/>
    <w:rsid w:val="737F2F3A"/>
    <w:rsid w:val="740578E3"/>
    <w:rsid w:val="74245119"/>
    <w:rsid w:val="74793E2D"/>
    <w:rsid w:val="74AB66DC"/>
    <w:rsid w:val="74B135C7"/>
    <w:rsid w:val="74FC2405"/>
    <w:rsid w:val="754058DD"/>
    <w:rsid w:val="75556648"/>
    <w:rsid w:val="756643B1"/>
    <w:rsid w:val="76037E52"/>
    <w:rsid w:val="762C11D6"/>
    <w:rsid w:val="76500BBD"/>
    <w:rsid w:val="76571F4C"/>
    <w:rsid w:val="76684159"/>
    <w:rsid w:val="7682346D"/>
    <w:rsid w:val="769B452E"/>
    <w:rsid w:val="769E19A0"/>
    <w:rsid w:val="76A333E3"/>
    <w:rsid w:val="76E539FB"/>
    <w:rsid w:val="770C71DA"/>
    <w:rsid w:val="771A04F8"/>
    <w:rsid w:val="773006BB"/>
    <w:rsid w:val="773C7ABF"/>
    <w:rsid w:val="776B2153"/>
    <w:rsid w:val="776E1C43"/>
    <w:rsid w:val="778356EE"/>
    <w:rsid w:val="77860D3A"/>
    <w:rsid w:val="78191D9D"/>
    <w:rsid w:val="782C7B34"/>
    <w:rsid w:val="782F3180"/>
    <w:rsid w:val="784A4B73"/>
    <w:rsid w:val="784D3606"/>
    <w:rsid w:val="785F0A27"/>
    <w:rsid w:val="786924FD"/>
    <w:rsid w:val="78C740DC"/>
    <w:rsid w:val="78CC09CF"/>
    <w:rsid w:val="78E91BB8"/>
    <w:rsid w:val="78F85C68"/>
    <w:rsid w:val="79433AC6"/>
    <w:rsid w:val="797C5F80"/>
    <w:rsid w:val="79815C5D"/>
    <w:rsid w:val="798219D5"/>
    <w:rsid w:val="79935991"/>
    <w:rsid w:val="79955265"/>
    <w:rsid w:val="799B26EC"/>
    <w:rsid w:val="79B871A5"/>
    <w:rsid w:val="79D4536F"/>
    <w:rsid w:val="79EB757B"/>
    <w:rsid w:val="79FE72AE"/>
    <w:rsid w:val="7A016D9E"/>
    <w:rsid w:val="7A083C89"/>
    <w:rsid w:val="7A1000E9"/>
    <w:rsid w:val="7A4016CB"/>
    <w:rsid w:val="7A5B3FA8"/>
    <w:rsid w:val="7A680BCB"/>
    <w:rsid w:val="7A7B26AD"/>
    <w:rsid w:val="7A835A05"/>
    <w:rsid w:val="7A8A6D94"/>
    <w:rsid w:val="7A995229"/>
    <w:rsid w:val="7AA87B97"/>
    <w:rsid w:val="7AB91427"/>
    <w:rsid w:val="7ACA7190"/>
    <w:rsid w:val="7AF31360"/>
    <w:rsid w:val="7B002BB2"/>
    <w:rsid w:val="7B1F572E"/>
    <w:rsid w:val="7B2F16E9"/>
    <w:rsid w:val="7B42141C"/>
    <w:rsid w:val="7B8D1547"/>
    <w:rsid w:val="7B8E3C79"/>
    <w:rsid w:val="7BA174E1"/>
    <w:rsid w:val="7BC04FC3"/>
    <w:rsid w:val="7BC14DBE"/>
    <w:rsid w:val="7C2261AB"/>
    <w:rsid w:val="7C354ADD"/>
    <w:rsid w:val="7C386AE4"/>
    <w:rsid w:val="7C396335"/>
    <w:rsid w:val="7C482A62"/>
    <w:rsid w:val="7C5F7DAC"/>
    <w:rsid w:val="7C6158D2"/>
    <w:rsid w:val="7C815F74"/>
    <w:rsid w:val="7C947A56"/>
    <w:rsid w:val="7CA53A11"/>
    <w:rsid w:val="7CA72746"/>
    <w:rsid w:val="7CB73744"/>
    <w:rsid w:val="7CCD2D63"/>
    <w:rsid w:val="7CFE1373"/>
    <w:rsid w:val="7D0C1CE2"/>
    <w:rsid w:val="7D172435"/>
    <w:rsid w:val="7D2633D6"/>
    <w:rsid w:val="7D593C57"/>
    <w:rsid w:val="7D9B4E14"/>
    <w:rsid w:val="7DC33C3F"/>
    <w:rsid w:val="7DC46119"/>
    <w:rsid w:val="7DDB3462"/>
    <w:rsid w:val="7DE7105B"/>
    <w:rsid w:val="7DF05160"/>
    <w:rsid w:val="7DF85F10"/>
    <w:rsid w:val="7E1D1CCD"/>
    <w:rsid w:val="7E3322A7"/>
    <w:rsid w:val="7E437985"/>
    <w:rsid w:val="7E9975A5"/>
    <w:rsid w:val="7EA81A90"/>
    <w:rsid w:val="7EB77A2B"/>
    <w:rsid w:val="7EC34622"/>
    <w:rsid w:val="7EEB0B24"/>
    <w:rsid w:val="7F2B14FE"/>
    <w:rsid w:val="7F3E1EFB"/>
    <w:rsid w:val="7F99469F"/>
    <w:rsid w:val="7FC468A4"/>
    <w:rsid w:val="7FF7082F"/>
    <w:rsid w:val="DFD7CAE5"/>
    <w:rsid w:val="FAFEB2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宋体" w:cs="@仿宋_GB2312"/>
      <w:kern w:val="2"/>
      <w:sz w:val="21"/>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3"/>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8"/>
    <w:qFormat/>
    <w:uiPriority w:val="0"/>
    <w:pPr>
      <w:keepNext/>
      <w:keepLines/>
      <w:spacing w:before="280" w:after="290" w:line="376" w:lineRule="auto"/>
      <w:outlineLvl w:val="3"/>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ind w:firstLine="420"/>
      <w:jc w:val="left"/>
    </w:pPr>
    <w:rPr>
      <w:rFonts w:ascii="宋体" w:hAnsi="Times New Roman" w:cs="Times New Roman"/>
      <w:kern w:val="0"/>
      <w:sz w:val="24"/>
    </w:rPr>
  </w:style>
  <w:style w:type="paragraph" w:styleId="7">
    <w:name w:val="annotation text"/>
    <w:basedOn w:val="1"/>
    <w:link w:val="60"/>
    <w:qFormat/>
    <w:uiPriority w:val="0"/>
    <w:pPr>
      <w:jc w:val="left"/>
    </w:pPr>
    <w:rPr>
      <w:rFonts w:ascii="Arial" w:hAnsi="Arial" w:eastAsia="黑体" w:cs="Arial"/>
    </w:rPr>
  </w:style>
  <w:style w:type="paragraph" w:styleId="8">
    <w:name w:val="Body Text"/>
    <w:basedOn w:val="1"/>
    <w:next w:val="9"/>
    <w:link w:val="69"/>
    <w:qFormat/>
    <w:uiPriority w:val="0"/>
    <w:pPr>
      <w:spacing w:after="120"/>
    </w:pPr>
    <w:rPr>
      <w:rFonts w:ascii="@微软简标宋" w:hAnsi="@微软简标宋" w:eastAsia="@微软简标宋" w:cs="@微软简标宋"/>
      <w:szCs w:val="24"/>
      <w:lang w:val="zh-CN"/>
    </w:rPr>
  </w:style>
  <w:style w:type="paragraph" w:styleId="9">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0">
    <w:name w:val="Body Text Indent"/>
    <w:basedOn w:val="1"/>
    <w:next w:val="11"/>
    <w:qFormat/>
    <w:uiPriority w:val="0"/>
    <w:pPr>
      <w:ind w:firstLine="540"/>
    </w:pPr>
    <w:rPr>
      <w:rFonts w:eastAsia="仿宋_GB2312"/>
      <w:sz w:val="28"/>
    </w:rPr>
  </w:style>
  <w:style w:type="paragraph" w:styleId="11">
    <w:name w:val="envelope return"/>
    <w:basedOn w:val="1"/>
    <w:qFormat/>
    <w:uiPriority w:val="0"/>
    <w:pPr>
      <w:snapToGrid w:val="0"/>
    </w:pPr>
    <w:rPr>
      <w:rFonts w:ascii="Arial" w:hAnsi="Arial"/>
    </w:rPr>
  </w:style>
  <w:style w:type="paragraph" w:styleId="12">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9"/>
    <w:qFormat/>
    <w:uiPriority w:val="99"/>
    <w:rPr>
      <w:rFonts w:ascii="宋体" w:hAnsi="Courier New" w:eastAsiaTheme="minorEastAsia" w:cstheme="minorBidi"/>
      <w:szCs w:val="22"/>
    </w:rPr>
  </w:style>
  <w:style w:type="paragraph" w:styleId="14">
    <w:name w:val="Date"/>
    <w:basedOn w:val="1"/>
    <w:next w:val="1"/>
    <w:link w:val="56"/>
    <w:qFormat/>
    <w:uiPriority w:val="0"/>
    <w:rPr>
      <w:rFonts w:ascii="Arial" w:hAnsi="Arial" w:cs="Arial"/>
      <w:b/>
      <w:sz w:val="28"/>
    </w:rPr>
  </w:style>
  <w:style w:type="paragraph" w:styleId="15">
    <w:name w:val="Balloon Text"/>
    <w:basedOn w:val="1"/>
    <w:link w:val="43"/>
    <w:semiHidden/>
    <w:unhideWhenUsed/>
    <w:qFormat/>
    <w:uiPriority w:val="99"/>
    <w:rPr>
      <w:sz w:val="18"/>
      <w:szCs w:val="18"/>
    </w:rPr>
  </w:style>
  <w:style w:type="paragraph" w:styleId="16">
    <w:name w:val="footer"/>
    <w:basedOn w:val="1"/>
    <w:link w:val="48"/>
    <w:unhideWhenUsed/>
    <w:qFormat/>
    <w:uiPriority w:val="99"/>
    <w:pPr>
      <w:tabs>
        <w:tab w:val="center" w:pos="4153"/>
        <w:tab w:val="right" w:pos="8306"/>
      </w:tabs>
      <w:snapToGrid w:val="0"/>
      <w:jc w:val="left"/>
    </w:pPr>
    <w:rPr>
      <w:sz w:val="18"/>
      <w:szCs w:val="18"/>
    </w:rPr>
  </w:style>
  <w:style w:type="paragraph" w:styleId="17">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List"/>
    <w:basedOn w:val="1"/>
    <w:qFormat/>
    <w:uiPriority w:val="0"/>
    <w:pPr>
      <w:ind w:left="200" w:hanging="200" w:hangingChars="200"/>
    </w:pPr>
    <w:rPr>
      <w:rFonts w:ascii="Calibri" w:hAnsi="Calibri" w:cs="Times New Roman"/>
      <w:szCs w:val="22"/>
    </w:rPr>
  </w:style>
  <w:style w:type="paragraph" w:styleId="20">
    <w:name w:val="Normal (Web)"/>
    <w:basedOn w:val="1"/>
    <w:qFormat/>
    <w:uiPriority w:val="0"/>
    <w:pPr>
      <w:spacing w:before="100" w:beforeAutospacing="1" w:after="100" w:afterAutospacing="1"/>
      <w:jc w:val="left"/>
    </w:pPr>
    <w:rPr>
      <w:rFonts w:cs="Times New Roman"/>
      <w:kern w:val="0"/>
      <w:sz w:val="24"/>
    </w:rPr>
  </w:style>
  <w:style w:type="paragraph" w:styleId="21">
    <w:name w:val="index 1"/>
    <w:basedOn w:val="1"/>
    <w:next w:val="1"/>
    <w:qFormat/>
    <w:uiPriority w:val="0"/>
    <w:pPr>
      <w:jc w:val="center"/>
    </w:pPr>
    <w:rPr>
      <w:rFonts w:ascii="Arial" w:hAnsi="Arial" w:eastAsia="Arial" w:cs="Arial"/>
      <w:b/>
      <w:bCs/>
      <w:sz w:val="28"/>
    </w:rPr>
  </w:style>
  <w:style w:type="paragraph" w:styleId="22">
    <w:name w:val="Body Text First Indent"/>
    <w:basedOn w:val="8"/>
    <w:unhideWhenUsed/>
    <w:qFormat/>
    <w:uiPriority w:val="99"/>
    <w:pPr>
      <w:ind w:firstLine="420" w:firstLineChars="100"/>
    </w:pPr>
  </w:style>
  <w:style w:type="paragraph" w:styleId="23">
    <w:name w:val="Body Text First Indent 2"/>
    <w:basedOn w:val="10"/>
    <w:next w:val="19"/>
    <w:unhideWhenUsed/>
    <w:qFormat/>
    <w:uiPriority w:val="99"/>
    <w:pPr>
      <w:spacing w:after="120"/>
      <w:ind w:left="420" w:leftChars="200" w:firstLine="420" w:firstLineChars="200"/>
    </w:pPr>
    <w:rPr>
      <w:sz w:val="21"/>
    </w:rPr>
  </w:style>
  <w:style w:type="table" w:styleId="25">
    <w:name w:val="Table Grid"/>
    <w:basedOn w:val="24"/>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bCs/>
    </w:rPr>
  </w:style>
  <w:style w:type="character" w:styleId="28">
    <w:name w:val="FollowedHyperlink"/>
    <w:basedOn w:val="26"/>
    <w:semiHidden/>
    <w:unhideWhenUsed/>
    <w:qFormat/>
    <w:uiPriority w:val="99"/>
    <w:rPr>
      <w:color w:val="800080"/>
      <w:u w:val="none"/>
    </w:rPr>
  </w:style>
  <w:style w:type="character" w:styleId="29">
    <w:name w:val="Emphasis"/>
    <w:basedOn w:val="26"/>
    <w:qFormat/>
    <w:uiPriority w:val="20"/>
    <w:rPr>
      <w:b/>
      <w:bCs/>
    </w:rPr>
  </w:style>
  <w:style w:type="character" w:styleId="30">
    <w:name w:val="HTML Definition"/>
    <w:basedOn w:val="26"/>
    <w:semiHidden/>
    <w:unhideWhenUsed/>
    <w:qFormat/>
    <w:uiPriority w:val="99"/>
  </w:style>
  <w:style w:type="character" w:styleId="31">
    <w:name w:val="HTML Typewriter"/>
    <w:basedOn w:val="26"/>
    <w:semiHidden/>
    <w:unhideWhenUsed/>
    <w:qFormat/>
    <w:uiPriority w:val="99"/>
    <w:rPr>
      <w:rFonts w:hint="default" w:ascii="monospace" w:hAnsi="monospace" w:eastAsia="monospace" w:cs="monospace"/>
      <w:sz w:val="20"/>
    </w:rPr>
  </w:style>
  <w:style w:type="character" w:styleId="32">
    <w:name w:val="HTML Acronym"/>
    <w:basedOn w:val="26"/>
    <w:semiHidden/>
    <w:unhideWhenUsed/>
    <w:qFormat/>
    <w:uiPriority w:val="99"/>
  </w:style>
  <w:style w:type="character" w:styleId="33">
    <w:name w:val="HTML Variable"/>
    <w:basedOn w:val="26"/>
    <w:semiHidden/>
    <w:unhideWhenUsed/>
    <w:qFormat/>
    <w:uiPriority w:val="99"/>
  </w:style>
  <w:style w:type="character" w:styleId="34">
    <w:name w:val="Hyperlink"/>
    <w:basedOn w:val="26"/>
    <w:unhideWhenUsed/>
    <w:qFormat/>
    <w:uiPriority w:val="99"/>
    <w:rPr>
      <w:color w:val="0000FF" w:themeColor="hyperlink"/>
      <w:u w:val="single"/>
    </w:rPr>
  </w:style>
  <w:style w:type="character" w:styleId="35">
    <w:name w:val="HTML Code"/>
    <w:basedOn w:val="26"/>
    <w:semiHidden/>
    <w:unhideWhenUsed/>
    <w:qFormat/>
    <w:uiPriority w:val="99"/>
    <w:rPr>
      <w:rFonts w:ascii="monospace" w:hAnsi="monospace" w:eastAsia="monospace" w:cs="monospace"/>
      <w:sz w:val="20"/>
    </w:rPr>
  </w:style>
  <w:style w:type="character" w:styleId="36">
    <w:name w:val="HTML Cite"/>
    <w:basedOn w:val="26"/>
    <w:semiHidden/>
    <w:unhideWhenUsed/>
    <w:qFormat/>
    <w:uiPriority w:val="99"/>
  </w:style>
  <w:style w:type="character" w:styleId="37">
    <w:name w:val="HTML Keyboard"/>
    <w:basedOn w:val="26"/>
    <w:semiHidden/>
    <w:unhideWhenUsed/>
    <w:qFormat/>
    <w:uiPriority w:val="99"/>
    <w:rPr>
      <w:rFonts w:hint="default" w:ascii="monospace" w:hAnsi="monospace" w:eastAsia="monospace" w:cs="monospace"/>
      <w:sz w:val="20"/>
    </w:rPr>
  </w:style>
  <w:style w:type="character" w:styleId="38">
    <w:name w:val="HTML Sample"/>
    <w:basedOn w:val="26"/>
    <w:semiHidden/>
    <w:unhideWhenUsed/>
    <w:qFormat/>
    <w:uiPriority w:val="99"/>
    <w:rPr>
      <w:rFonts w:hint="default" w:ascii="monospace" w:hAnsi="monospace" w:eastAsia="monospace" w:cs="monospace"/>
    </w:rPr>
  </w:style>
  <w:style w:type="paragraph" w:customStyle="1" w:styleId="39">
    <w:name w:val="目录 71"/>
    <w:basedOn w:val="1"/>
    <w:next w:val="1"/>
    <w:qFormat/>
    <w:uiPriority w:val="0"/>
    <w:pPr>
      <w:ind w:left="2520"/>
    </w:pPr>
    <w:rPr>
      <w:rFonts w:ascii="Calibri"/>
    </w:rPr>
  </w:style>
  <w:style w:type="paragraph" w:customStyle="1" w:styleId="40">
    <w:name w:val="style4"/>
    <w:basedOn w:val="1"/>
    <w:next w:val="41"/>
    <w:qFormat/>
    <w:uiPriority w:val="0"/>
    <w:pPr>
      <w:widowControl/>
      <w:spacing w:before="280" w:after="280"/>
    </w:pPr>
    <w:rPr>
      <w:rFonts w:ascii="宋体"/>
      <w:sz w:val="18"/>
    </w:rPr>
  </w:style>
  <w:style w:type="paragraph" w:customStyle="1" w:styleId="41">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4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43">
    <w:name w:val="批注框文本 Char"/>
    <w:basedOn w:val="26"/>
    <w:link w:val="15"/>
    <w:semiHidden/>
    <w:qFormat/>
    <w:uiPriority w:val="99"/>
    <w:rPr>
      <w:rFonts w:ascii="@仿宋_GB2312" w:hAnsi="@仿宋_GB2312" w:eastAsia="@仿宋_GB2312" w:cs="@仿宋_GB2312"/>
      <w:sz w:val="18"/>
      <w:szCs w:val="18"/>
    </w:rPr>
  </w:style>
  <w:style w:type="paragraph" w:customStyle="1" w:styleId="44">
    <w:name w:val="正文（缩进）"/>
    <w:basedOn w:val="1"/>
    <w:qFormat/>
    <w:uiPriority w:val="0"/>
    <w:pPr>
      <w:widowControl/>
      <w:spacing w:before="156" w:after="156"/>
      <w:ind w:firstLine="480" w:firstLineChars="200"/>
      <w:jc w:val="left"/>
    </w:pPr>
    <w:rPr>
      <w:kern w:val="0"/>
      <w:sz w:val="24"/>
      <w:szCs w:val="24"/>
    </w:rPr>
  </w:style>
  <w:style w:type="paragraph" w:customStyle="1" w:styleId="45">
    <w:name w:val="xl31"/>
    <w:basedOn w:val="1"/>
    <w:qFormat/>
    <w:uiPriority w:val="0"/>
    <w:pPr>
      <w:widowControl/>
      <w:spacing w:before="100" w:beforeAutospacing="1" w:after="100" w:afterAutospacing="1"/>
      <w:jc w:val="center"/>
    </w:pPr>
    <w:rPr>
      <w:b/>
      <w:bCs/>
      <w:kern w:val="0"/>
      <w:sz w:val="28"/>
      <w:szCs w:val="28"/>
    </w:rPr>
  </w:style>
  <w:style w:type="paragraph" w:customStyle="1" w:styleId="46">
    <w:name w:val="D&amp;L"/>
    <w:basedOn w:val="17"/>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Char"/>
    <w:basedOn w:val="26"/>
    <w:link w:val="17"/>
    <w:qFormat/>
    <w:uiPriority w:val="0"/>
    <w:rPr>
      <w:rFonts w:ascii="@仿宋_GB2312" w:hAnsi="@仿宋_GB2312" w:eastAsia="@仿宋_GB2312" w:cs="@仿宋_GB2312"/>
      <w:sz w:val="18"/>
      <w:szCs w:val="18"/>
    </w:rPr>
  </w:style>
  <w:style w:type="character" w:customStyle="1" w:styleId="48">
    <w:name w:val="页脚 Char"/>
    <w:basedOn w:val="26"/>
    <w:link w:val="16"/>
    <w:qFormat/>
    <w:uiPriority w:val="99"/>
    <w:rPr>
      <w:rFonts w:ascii="@仿宋_GB2312" w:hAnsi="@仿宋_GB2312" w:eastAsia="@仿宋_GB2312" w:cs="@仿宋_GB2312"/>
      <w:sz w:val="18"/>
      <w:szCs w:val="18"/>
    </w:rPr>
  </w:style>
  <w:style w:type="character" w:customStyle="1" w:styleId="49">
    <w:name w:val="纯文本 Char"/>
    <w:link w:val="13"/>
    <w:qFormat/>
    <w:uiPriority w:val="0"/>
    <w:rPr>
      <w:rFonts w:ascii="宋体" w:hAnsi="Courier New"/>
    </w:rPr>
  </w:style>
  <w:style w:type="character" w:customStyle="1" w:styleId="50">
    <w:name w:val="纯文本 字符1"/>
    <w:basedOn w:val="26"/>
    <w:semiHidden/>
    <w:qFormat/>
    <w:uiPriority w:val="99"/>
    <w:rPr>
      <w:rFonts w:hAnsi="Courier New" w:cs="Courier New" w:asciiTheme="minorEastAsia"/>
      <w:szCs w:val="20"/>
    </w:rPr>
  </w:style>
  <w:style w:type="character" w:customStyle="1" w:styleId="51">
    <w:name w:val="未处理的提及1"/>
    <w:basedOn w:val="26"/>
    <w:semiHidden/>
    <w:unhideWhenUsed/>
    <w:qFormat/>
    <w:uiPriority w:val="99"/>
    <w:rPr>
      <w:color w:val="605E5C"/>
      <w:shd w:val="clear" w:color="auto" w:fill="E1DFDD"/>
    </w:rPr>
  </w:style>
  <w:style w:type="paragraph" w:styleId="52">
    <w:name w:val="List Paragraph"/>
    <w:basedOn w:val="1"/>
    <w:qFormat/>
    <w:uiPriority w:val="34"/>
    <w:pPr>
      <w:ind w:firstLine="420" w:firstLineChars="200"/>
    </w:pPr>
  </w:style>
  <w:style w:type="paragraph" w:customStyle="1" w:styleId="53">
    <w:name w:val="Char Char Char Char Char Char Char1 Char"/>
    <w:basedOn w:val="1"/>
    <w:qFormat/>
    <w:uiPriority w:val="0"/>
    <w:rPr>
      <w:rFonts w:ascii="Arial" w:hAnsi="Arial" w:cs="Arial"/>
      <w:sz w:val="24"/>
    </w:rPr>
  </w:style>
  <w:style w:type="table" w:customStyle="1" w:styleId="54">
    <w:name w:val="网格表 1 浅色1"/>
    <w:basedOn w:val="24"/>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6"/>
    <w:semiHidden/>
    <w:qFormat/>
    <w:uiPriority w:val="99"/>
    <w:rPr>
      <w:rFonts w:ascii="@仿宋_GB2312" w:hAnsi="@仿宋_GB2312" w:eastAsia="@仿宋_GB2312" w:cs="@仿宋_GB2312"/>
      <w:szCs w:val="20"/>
    </w:rPr>
  </w:style>
  <w:style w:type="character" w:customStyle="1" w:styleId="56">
    <w:name w:val="日期 Char"/>
    <w:link w:val="14"/>
    <w:qFormat/>
    <w:uiPriority w:val="0"/>
    <w:rPr>
      <w:rFonts w:ascii="Arial" w:hAnsi="Arial" w:eastAsia="宋体" w:cs="Arial"/>
      <w:b/>
      <w:sz w:val="28"/>
      <w:szCs w:val="20"/>
    </w:rPr>
  </w:style>
  <w:style w:type="character" w:customStyle="1" w:styleId="57">
    <w:name w:val="纯文本 Char1"/>
    <w:link w:val="58"/>
    <w:qFormat/>
    <w:locked/>
    <w:uiPriority w:val="0"/>
    <w:rPr>
      <w:rFonts w:ascii="Arial" w:hAnsi="Arial" w:eastAsia="Arial"/>
      <w:kern w:val="2"/>
      <w:sz w:val="21"/>
      <w:lang w:val="en-US" w:eastAsia="zh-CN" w:bidi="ar-SA"/>
    </w:rPr>
  </w:style>
  <w:style w:type="paragraph" w:customStyle="1" w:styleId="58">
    <w:name w:val="纯文本1"/>
    <w:basedOn w:val="1"/>
    <w:link w:val="57"/>
    <w:qFormat/>
    <w:uiPriority w:val="0"/>
    <w:rPr>
      <w:rFonts w:ascii="Arial" w:hAnsi="Arial" w:eastAsia="Arial" w:cstheme="minorBidi"/>
    </w:rPr>
  </w:style>
  <w:style w:type="character" w:customStyle="1" w:styleId="59">
    <w:name w:val="批注文字 Char"/>
    <w:basedOn w:val="26"/>
    <w:semiHidden/>
    <w:qFormat/>
    <w:uiPriority w:val="99"/>
    <w:rPr>
      <w:rFonts w:ascii="@仿宋_GB2312" w:hAnsi="@仿宋_GB2312" w:eastAsia="@仿宋_GB2312" w:cs="@仿宋_GB2312"/>
      <w:szCs w:val="20"/>
    </w:rPr>
  </w:style>
  <w:style w:type="character" w:customStyle="1" w:styleId="60">
    <w:name w:val="批注文字 Char1"/>
    <w:link w:val="7"/>
    <w:qFormat/>
    <w:uiPriority w:val="0"/>
    <w:rPr>
      <w:rFonts w:ascii="Arial" w:hAnsi="Arial" w:eastAsia="黑体" w:cs="Arial"/>
      <w:szCs w:val="20"/>
    </w:rPr>
  </w:style>
  <w:style w:type="character" w:customStyle="1" w:styleId="61">
    <w:name w:val="标题 1 Char"/>
    <w:basedOn w:val="26"/>
    <w:link w:val="2"/>
    <w:qFormat/>
    <w:uiPriority w:val="9"/>
    <w:rPr>
      <w:rFonts w:ascii="@仿宋_GB2312" w:hAnsi="@仿宋_GB2312" w:eastAsia="@仿宋_GB2312" w:cs="@仿宋_GB2312"/>
      <w:b/>
      <w:bCs/>
      <w:kern w:val="44"/>
      <w:sz w:val="44"/>
      <w:szCs w:val="44"/>
    </w:rPr>
  </w:style>
  <w:style w:type="paragraph" w:customStyle="1" w:styleId="6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63">
    <w:name w:val="标题 3 Char"/>
    <w:basedOn w:val="26"/>
    <w:link w:val="4"/>
    <w:semiHidden/>
    <w:qFormat/>
    <w:uiPriority w:val="9"/>
    <w:rPr>
      <w:rFonts w:ascii="@仿宋_GB2312" w:hAnsi="@仿宋_GB2312" w:eastAsia="@仿宋_GB2312" w:cs="@仿宋_GB2312"/>
      <w:b/>
      <w:bCs/>
      <w:sz w:val="32"/>
      <w:szCs w:val="32"/>
    </w:rPr>
  </w:style>
  <w:style w:type="character" w:customStyle="1" w:styleId="64">
    <w:name w:val="fontstyle01"/>
    <w:basedOn w:val="26"/>
    <w:qFormat/>
    <w:uiPriority w:val="0"/>
    <w:rPr>
      <w:rFonts w:hint="eastAsia" w:ascii="宋体" w:hAnsi="宋体" w:eastAsia="宋体"/>
      <w:color w:val="000000"/>
      <w:sz w:val="22"/>
      <w:szCs w:val="22"/>
    </w:rPr>
  </w:style>
  <w:style w:type="character" w:customStyle="1" w:styleId="65">
    <w:name w:val="fontstyle21"/>
    <w:basedOn w:val="26"/>
    <w:qFormat/>
    <w:uiPriority w:val="0"/>
    <w:rPr>
      <w:rFonts w:hint="default" w:ascii="TimesNewRomanPSMT" w:hAnsi="TimesNewRomanPSMT"/>
      <w:color w:val="000000"/>
      <w:sz w:val="22"/>
      <w:szCs w:val="22"/>
    </w:rPr>
  </w:style>
  <w:style w:type="character" w:customStyle="1" w:styleId="66">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26"/>
    <w:semiHidden/>
    <w:qFormat/>
    <w:uiPriority w:val="9"/>
    <w:rPr>
      <w:rFonts w:asciiTheme="majorHAnsi" w:hAnsiTheme="majorHAnsi" w:eastAsiaTheme="majorEastAsia" w:cstheme="majorBidi"/>
      <w:b/>
      <w:bCs/>
      <w:sz w:val="28"/>
      <w:szCs w:val="28"/>
    </w:rPr>
  </w:style>
  <w:style w:type="character" w:customStyle="1" w:styleId="68">
    <w:name w:val="标题 4 Char"/>
    <w:link w:val="5"/>
    <w:qFormat/>
    <w:uiPriority w:val="0"/>
    <w:rPr>
      <w:rFonts w:ascii="@仿宋_GB2312" w:hAnsi="@仿宋_GB2312" w:eastAsia="@仿宋_GB2312" w:cs="@仿宋_GB2312"/>
      <w:b/>
      <w:bCs/>
      <w:sz w:val="28"/>
      <w:szCs w:val="28"/>
    </w:rPr>
  </w:style>
  <w:style w:type="character" w:customStyle="1" w:styleId="69">
    <w:name w:val="正文文本 Char"/>
    <w:basedOn w:val="26"/>
    <w:link w:val="8"/>
    <w:qFormat/>
    <w:uiPriority w:val="0"/>
    <w:rPr>
      <w:rFonts w:ascii="@微软简标宋" w:hAnsi="@微软简标宋" w:eastAsia="@微软简标宋" w:cs="@微软简标宋"/>
      <w:szCs w:val="24"/>
      <w:lang w:val="zh-CN" w:eastAsia="zh-CN"/>
    </w:rPr>
  </w:style>
  <w:style w:type="table" w:customStyle="1" w:styleId="70">
    <w:name w:val="网格型1"/>
    <w:basedOn w:val="24"/>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
    <w:name w:val="Table Normal"/>
    <w:semiHidden/>
    <w:unhideWhenUsed/>
    <w:qFormat/>
    <w:uiPriority w:val="0"/>
    <w:tblPr>
      <w:tblCellMar>
        <w:top w:w="0" w:type="dxa"/>
        <w:left w:w="0" w:type="dxa"/>
        <w:bottom w:w="0" w:type="dxa"/>
        <w:right w:w="0" w:type="dxa"/>
      </w:tblCellMar>
    </w:tblPr>
  </w:style>
  <w:style w:type="paragraph" w:customStyle="1" w:styleId="72">
    <w:name w:val="Table Text"/>
    <w:basedOn w:val="1"/>
    <w:semiHidden/>
    <w:qFormat/>
    <w:uiPriority w:val="0"/>
    <w:rPr>
      <w:rFonts w:ascii="Arial" w:hAnsi="Arial" w:eastAsia="Arial" w:cs="Arial"/>
      <w:szCs w:val="21"/>
      <w:lang w:eastAsia="en-US"/>
    </w:rPr>
  </w:style>
  <w:style w:type="paragraph" w:customStyle="1" w:styleId="73">
    <w:name w:val="无间隔1"/>
    <w:qFormat/>
    <w:uiPriority w:val="0"/>
    <w:pPr>
      <w:widowControl w:val="0"/>
      <w:jc w:val="both"/>
    </w:pPr>
    <w:rPr>
      <w:rFonts w:ascii="Calibri" w:hAnsi="Calibri" w:eastAsia="宋体" w:cs="Times New Roman"/>
      <w:kern w:val="2"/>
      <w:sz w:val="21"/>
      <w:szCs w:val="24"/>
      <w:lang w:val="en-US" w:eastAsia="zh-CN" w:bidi="ar-SA"/>
    </w:rPr>
  </w:style>
  <w:style w:type="paragraph" w:customStyle="1" w:styleId="74">
    <w:name w:val="*正文"/>
    <w:basedOn w:val="1"/>
    <w:qFormat/>
    <w:uiPriority w:val="0"/>
    <w:pPr>
      <w:ind w:firstLine="200" w:firstLineChars="200"/>
    </w:pPr>
    <w:rPr>
      <w:rFonts w:ascii="Times New Roman" w:hAnsi="Times New Roman" w:eastAsia="仿宋"/>
      <w:sz w:val="28"/>
    </w:rPr>
  </w:style>
  <w:style w:type="character" w:customStyle="1" w:styleId="75">
    <w:name w:val="font31"/>
    <w:basedOn w:val="26"/>
    <w:qFormat/>
    <w:uiPriority w:val="0"/>
    <w:rPr>
      <w:rFonts w:hint="default" w:ascii="Calibri" w:hAnsi="Calibri" w:cs="Calibri"/>
      <w:color w:val="000000"/>
      <w:sz w:val="22"/>
      <w:szCs w:val="22"/>
      <w:u w:val="none"/>
    </w:rPr>
  </w:style>
  <w:style w:type="character" w:customStyle="1" w:styleId="76">
    <w:name w:val="font41"/>
    <w:basedOn w:val="2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56</Pages>
  <Words>4271</Words>
  <Characters>24349</Characters>
  <Lines>202</Lines>
  <Paragraphs>57</Paragraphs>
  <TotalTime>1</TotalTime>
  <ScaleCrop>false</ScaleCrop>
  <LinksUpToDate>false</LinksUpToDate>
  <CharactersWithSpaces>28563</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2026-10-19T10:22:00Z</dcterms:created>
  <dc:creator>Anakin</dc:creator>
  <cp:lastModifiedBy>admin</cp:lastModifiedBy>
  <cp:lastPrinted>2019-12-08T07:20:00Z</cp:lastPrinted>
  <dcterms:modified xsi:type="dcterms:W3CDTF">2026-10-19T10:51:51Z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70126783FF1E0D5EC785D56AB9738C10_43</vt:lpwstr>
  </property>
  <property fmtid="{D5CDD505-2E9C-101B-9397-08002B2CF9AE}" pid="4" name="KSOTemplateDocerSaveRecord">
    <vt:lpwstr>eyJoZGlkIjoiN2NhZmIyYjgwOGE4ZDZhZTgyYzU2Y2NiNGJiMTRjMTciLCJ1c2VySWQiOiI0MDkzNzU0NzEifQ==</vt:lpwstr>
  </property>
</Properties>
</file>