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2024年</w:t>
      </w:r>
      <w:r>
        <w:rPr>
          <w:rFonts w:hint="eastAsia" w:ascii="宋体" w:hAnsi="宋体"/>
          <w:b/>
          <w:sz w:val="36"/>
          <w:szCs w:val="36"/>
        </w:rPr>
        <w:t>六安市普通话测试站扩建</w:t>
      </w:r>
      <w:r>
        <w:rPr>
          <w:rFonts w:hint="eastAsia" w:ascii="宋体" w:hAnsi="宋体"/>
          <w:b/>
          <w:sz w:val="36"/>
          <w:szCs w:val="36"/>
          <w:lang w:eastAsia="zh-CN"/>
        </w:rPr>
        <w:t>改造项目</w:t>
      </w:r>
    </w:p>
    <w:p>
      <w:pPr>
        <w:widowControl/>
        <w:jc w:val="center"/>
        <w:rPr>
          <w:rStyle w:val="6"/>
          <w:rFonts w:hint="default"/>
          <w:color w:val="auto"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采购评分细则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Style w:val="6"/>
          <w:rFonts w:hint="default"/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left"/>
        <w:textAlignment w:val="auto"/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本项目采用</w:t>
      </w:r>
      <w:r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综合评分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法</w:t>
      </w:r>
      <w:r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，满</w:t>
      </w:r>
      <w:r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Style w:val="6"/>
          <w:rFonts w:hint="default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 100 分，其中：技术资信分值占总分值的权重为 70%，价格分值占总分值的权重为 30%。具体评分细则如下：</w:t>
      </w:r>
    </w:p>
    <w:tbl>
      <w:tblPr>
        <w:tblStyle w:val="4"/>
        <w:tblW w:w="10349" w:type="dxa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09"/>
        <w:gridCol w:w="8080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类别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评分内容 </w:t>
            </w:r>
          </w:p>
        </w:tc>
        <w:tc>
          <w:tcPr>
            <w:tcW w:w="8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评分标准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技术资信分（70 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参数响应性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1、供应商</w:t>
            </w:r>
            <w:r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投标人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所投产品完全满足或优于招标文件采购需求“技术参数及要求”的，得满分35分；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2、标注“★”的技术参数及要求不满足或负偏离的，每一项扣5分，扣完为止；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3、未标注“★”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的其他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技术参数及要求不满足或负偏离的，每一项扣2分，扣完为止。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本项最高得35分，最低得0分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以技术响应表、货物说明一览表及采购需求中要求提供的证明资料作为评审依据。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0-35分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技术方案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供应商投标人所投标文件须提供系统集成具体技术解决方案。评审委员会根据供应商提供的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网络系统、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监控系统、广播系统、防作弊系统等技术资料质量、与项目整体测试符合性、项目系统集成具体实施计划可行性、系统集成项目组实施人员能力等进行综合评审。优得5-4分，良得3-2分，一般得1分，差或未提供不得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售后服务和培训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投标人所投标文件须提供项目运维计划（对用户故障的响应、处理、定期巡检等情况）、售后服务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培训方案及计划等。评审委员会根据供应商提供的售后服务和故障响应时间、计划周密性、培训方案计划可行性、科学性等进行综合评审。优得5-4分，良得3-2分，一般得1分，差或未提供不得分。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图纸设计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1、提供测试间内部效果图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或实景照片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（不少于三个视角）；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2、提供中控区效果图或实景照片；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3、提供设计平面图；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、针对各部位做出声学设计说明。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注：响应文件中提供图纸、设计说明扫描件，设计优秀、完全满足或优于采购人要求的得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10-7分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；设计良好、比较符合采购人要求的得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6-4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分；设计一般、基本符合采购人要求的得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3-1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分；差或未提供或提供不全的不得分。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0-10分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供应商业绩</w:t>
            </w:r>
          </w:p>
        </w:tc>
        <w:tc>
          <w:tcPr>
            <w:tcW w:w="8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自20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年1月1日以来（以合同签订时间为准），投标人具有普通话测试站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政府采购项目业绩案例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，每个业绩得3分，满分15分，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得满为止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注：1、响应文件中提供业绩合同</w:t>
            </w:r>
            <w:r>
              <w:rPr>
                <w:rFonts w:hint="eastAsia" w:asciiTheme="minorEastAsia" w:hAnsiTheme="minorEastAsia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扫描件或影印件，如合同不能体现签订时间、项目内容的，须另附业主单位出具的加盖公章的证明材料</w:t>
            </w:r>
            <w:r>
              <w:rPr>
                <w:rFonts w:hint="eastAsia" w:asciiTheme="minorEastAsia" w:hAnsiTheme="minorEastAsia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原件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扫描件。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2、以上业绩为已完成业绩。无需提供已完成证明材料，在业绩承诺函中备注完成状态即可。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0-15分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价格分（30分）</w:t>
            </w:r>
          </w:p>
        </w:tc>
        <w:tc>
          <w:tcPr>
            <w:tcW w:w="94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价格分统一采用低价优先法，即满足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文件要求且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价格最低的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报价为评标基准价，其价格分为满分30分。其他供应商的价格分统一按照下列公式计算：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报价得分＝（评标基准价/</w:t>
            </w:r>
            <w:r>
              <w:rPr>
                <w:rFonts w:hint="eastAsia" w:asciiTheme="minorEastAsia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投标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报价）×30％×100。</w:t>
            </w:r>
          </w:p>
        </w:tc>
      </w:tr>
    </w:tbl>
    <w:p>
      <w:pPr>
        <w:widowControl/>
        <w:jc w:val="left"/>
        <w:rPr>
          <w:rFonts w:cs="宋体" w:asciiTheme="minor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92"/>
    <w:rsid w:val="0004430E"/>
    <w:rsid w:val="001A4D01"/>
    <w:rsid w:val="001D205F"/>
    <w:rsid w:val="002C24F7"/>
    <w:rsid w:val="00345B92"/>
    <w:rsid w:val="003B7941"/>
    <w:rsid w:val="004452AD"/>
    <w:rsid w:val="005D09A7"/>
    <w:rsid w:val="00672EDE"/>
    <w:rsid w:val="006746B8"/>
    <w:rsid w:val="00714ACA"/>
    <w:rsid w:val="00747AFD"/>
    <w:rsid w:val="00756E93"/>
    <w:rsid w:val="00763111"/>
    <w:rsid w:val="007F007A"/>
    <w:rsid w:val="008842B3"/>
    <w:rsid w:val="00893458"/>
    <w:rsid w:val="009A0787"/>
    <w:rsid w:val="00A24741"/>
    <w:rsid w:val="00B358AC"/>
    <w:rsid w:val="00C81319"/>
    <w:rsid w:val="00D00289"/>
    <w:rsid w:val="00DC6B2A"/>
    <w:rsid w:val="00E05B24"/>
    <w:rsid w:val="00E42B66"/>
    <w:rsid w:val="00FD2485"/>
    <w:rsid w:val="0FAA59DD"/>
    <w:rsid w:val="302941FD"/>
    <w:rsid w:val="357275F3"/>
    <w:rsid w:val="3AB5EE3A"/>
    <w:rsid w:val="3F7BF4EE"/>
    <w:rsid w:val="4AFD594E"/>
    <w:rsid w:val="4E9879CD"/>
    <w:rsid w:val="4FF84C36"/>
    <w:rsid w:val="55356EBA"/>
    <w:rsid w:val="6CFA30B8"/>
    <w:rsid w:val="6E8E45CE"/>
    <w:rsid w:val="6F2F0531"/>
    <w:rsid w:val="716E6D9C"/>
    <w:rsid w:val="78BE14B8"/>
    <w:rsid w:val="BE7F64B2"/>
    <w:rsid w:val="FD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style01"/>
    <w:basedOn w:val="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173</Words>
  <Characters>988</Characters>
  <Lines>8</Lines>
  <Paragraphs>2</Paragraphs>
  <TotalTime>109</TotalTime>
  <ScaleCrop>false</ScaleCrop>
  <LinksUpToDate>false</LinksUpToDate>
  <CharactersWithSpaces>1159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2021-01-07T15:42:00Z</dcterms:created>
  <dc:creator>吕晶晶</dc:creator>
  <cp:lastModifiedBy>administrator</cp:lastModifiedBy>
  <dcterms:modified xsi:type="dcterms:W3CDTF">2024-03-27T16:26:21Z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5635D5BA7028E6944E8B0266F0D3B727</vt:lpwstr>
  </property>
</Properties>
</file>