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3DC0A">
      <w:pPr>
        <w:rPr>
          <w:rFonts w:hint="eastAsia" w:eastAsiaTheme="minorEastAsia"/>
          <w:lang w:val="en-US" w:eastAsia="zh-CN"/>
        </w:rPr>
      </w:pPr>
      <w: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
                    <a:stretch>
                      <a:fillRect/>
                    </a:stretch>
                  </pic:blipFill>
                  <pic:spPr>
                    <a:xfrm>
                      <a:off x="0" y="0"/>
                      <a:ext cx="7769225" cy="10739755"/>
                    </a:xfrm>
                    <a:prstGeom prst="rect">
                      <a:avLst/>
                    </a:prstGeom>
                    <a:noFill/>
                    <a:ln>
                      <a:noFill/>
                    </a:ln>
                  </pic:spPr>
                </pic:pic>
              </a:graphicData>
            </a:graphic>
          </wp:anchor>
        </w:drawing>
      </w:r>
    </w:p>
    <w:p w14:paraId="6823E29D">
      <w:pPr>
        <w:rPr>
          <w:rFonts w:hint="eastAsia"/>
          <w:b/>
          <w:bCs/>
          <w:sz w:val="60"/>
          <w:szCs w:val="60"/>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-1173480</wp:posOffset>
                </wp:positionH>
                <wp:positionV relativeFrom="paragraph">
                  <wp:posOffset>3568065</wp:posOffset>
                </wp:positionV>
                <wp:extent cx="7613650" cy="1775460"/>
                <wp:effectExtent l="0" t="0" r="0" b="0"/>
                <wp:wrapNone/>
                <wp:docPr id="11" name="文本框 11"/>
                <wp:cNvGraphicFramePr/>
                <a:graphic xmlns:a="http://schemas.openxmlformats.org/drawingml/2006/main">
                  <a:graphicData uri="http://schemas.microsoft.com/office/word/2010/wordprocessingShape">
                    <wps:wsp>
                      <wps:cNvSpPr txBox="1"/>
                      <wps:spPr>
                        <a:xfrm>
                          <a:off x="3511550" y="7141210"/>
                          <a:ext cx="7613650" cy="1775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C78F6">
                            <w:pPr>
                              <w:jc w:val="center"/>
                              <w:rPr>
                                <w:rFonts w:hint="eastAsia" w:ascii="华文新魏" w:hAnsi="华文新魏" w:eastAsia="华文新魏" w:cs="华文新魏"/>
                                <w:b/>
                                <w:bCs/>
                                <w:color w:val="2E93B0"/>
                                <w:kern w:val="24"/>
                                <w:sz w:val="72"/>
                                <w:szCs w:val="72"/>
                                <w:lang w:val="en-US" w:eastAsia="zh-CN"/>
                              </w:rPr>
                            </w:pPr>
                            <w:r>
                              <w:rPr>
                                <w:rFonts w:hint="eastAsia" w:ascii="华文新魏" w:hAnsi="华文新魏" w:eastAsia="华文新魏" w:cs="华文新魏"/>
                                <w:b/>
                                <w:bCs/>
                                <w:color w:val="2E93B0"/>
                                <w:kern w:val="24"/>
                                <w:sz w:val="72"/>
                                <w:szCs w:val="72"/>
                                <w:lang w:val="en-US" w:eastAsia="zh-CN"/>
                              </w:rPr>
                              <w:t>中等职业教育质量年度报告</w:t>
                            </w:r>
                          </w:p>
                          <w:p w14:paraId="27F929CF">
                            <w:pPr>
                              <w:jc w:val="center"/>
                              <w:rPr>
                                <w:rFonts w:hint="eastAsia" w:ascii="华文新魏" w:hAnsi="华文新魏" w:eastAsia="华文新魏" w:cs="华文新魏"/>
                                <w:b/>
                                <w:bCs/>
                                <w:color w:val="2E93B0"/>
                                <w:kern w:val="24"/>
                                <w:sz w:val="72"/>
                                <w:szCs w:val="72"/>
                                <w:lang w:val="en-US" w:eastAsia="zh-CN"/>
                              </w:rPr>
                            </w:pPr>
                            <w:r>
                              <w:rPr>
                                <w:rFonts w:hint="eastAsia" w:ascii="华文新魏" w:hAnsi="华文新魏" w:eastAsia="华文新魏" w:cs="华文新魏"/>
                                <w:b/>
                                <w:bCs/>
                                <w:color w:val="2E93B0"/>
                                <w:kern w:val="24"/>
                                <w:sz w:val="72"/>
                                <w:szCs w:val="72"/>
                                <w:lang w:val="en-US" w:eastAsia="zh-CN"/>
                              </w:rPr>
                              <w:t>（2025年）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4pt;margin-top:280.95pt;height:139.8pt;width:599.5pt;z-index:251663360;mso-width-relative:page;mso-height-relative:page;" filled="f" stroked="f" coordsize="21600,21600" o:gfxdata="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ch2R3QAAAA0BAAAPAAAAAAAA&#10;AAEAIAAAACIAAABkcnMvZG93bnJldi54bWxQSwECFAAUAAAACACHTuJAXLugbUYCAAB1BAAADgAA&#10;AAAAAAABACAAAAAsAQAAZHJzL2Uyb0RvYy54bWxQSwUGAAAAAAYABgBZAQAA5AUAAAAA&#10;">
                <v:fill on="f" focussize="0,0"/>
                <v:stroke on="f" weight="0.5pt"/>
                <v:imagedata o:title=""/>
                <o:lock v:ext="edit" aspectratio="f"/>
                <v:textbox>
                  <w:txbxContent>
                    <w:p w14:paraId="0E2C78F6">
                      <w:pPr>
                        <w:jc w:val="center"/>
                        <w:rPr>
                          <w:rFonts w:hint="eastAsia" w:ascii="华文新魏" w:hAnsi="华文新魏" w:eastAsia="华文新魏" w:cs="华文新魏"/>
                          <w:b/>
                          <w:bCs/>
                          <w:color w:val="2E93B0"/>
                          <w:kern w:val="24"/>
                          <w:sz w:val="72"/>
                          <w:szCs w:val="72"/>
                          <w:lang w:val="en-US" w:eastAsia="zh-CN"/>
                        </w:rPr>
                      </w:pPr>
                      <w:r>
                        <w:rPr>
                          <w:rFonts w:hint="eastAsia" w:ascii="华文新魏" w:hAnsi="华文新魏" w:eastAsia="华文新魏" w:cs="华文新魏"/>
                          <w:b/>
                          <w:bCs/>
                          <w:color w:val="2E93B0"/>
                          <w:kern w:val="24"/>
                          <w:sz w:val="72"/>
                          <w:szCs w:val="72"/>
                          <w:lang w:val="en-US" w:eastAsia="zh-CN"/>
                        </w:rPr>
                        <w:t>中等职业教育质量年度报告</w:t>
                      </w:r>
                    </w:p>
                    <w:p w14:paraId="27F929CF">
                      <w:pPr>
                        <w:jc w:val="center"/>
                        <w:rPr>
                          <w:rFonts w:hint="eastAsia" w:ascii="华文新魏" w:hAnsi="华文新魏" w:eastAsia="华文新魏" w:cs="华文新魏"/>
                          <w:b/>
                          <w:bCs/>
                          <w:color w:val="2E93B0"/>
                          <w:kern w:val="24"/>
                          <w:sz w:val="72"/>
                          <w:szCs w:val="72"/>
                          <w:lang w:val="en-US" w:eastAsia="zh-CN"/>
                        </w:rPr>
                      </w:pPr>
                      <w:r>
                        <w:rPr>
                          <w:rFonts w:hint="eastAsia" w:ascii="华文新魏" w:hAnsi="华文新魏" w:eastAsia="华文新魏" w:cs="华文新魏"/>
                          <w:b/>
                          <w:bCs/>
                          <w:color w:val="2E93B0"/>
                          <w:kern w:val="24"/>
                          <w:sz w:val="72"/>
                          <w:szCs w:val="72"/>
                          <w:lang w:val="en-US" w:eastAsia="zh-CN"/>
                        </w:rPr>
                        <w:t>（2025年）</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1287780</wp:posOffset>
                </wp:positionH>
                <wp:positionV relativeFrom="paragraph">
                  <wp:posOffset>5404485</wp:posOffset>
                </wp:positionV>
                <wp:extent cx="2648585" cy="99695"/>
                <wp:effectExtent l="0" t="0" r="3175" b="6985"/>
                <wp:wrapNone/>
                <wp:docPr id="43" name="矩形 43"/>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4pt;margin-top:425.55pt;height:7.85pt;width:208.55pt;z-index:251665408;v-text-anchor:middle;mso-width-relative:page;mso-height-relative:page;" fillcolor="#2E93B0" filled="t" stroked="f" coordsize="21600,21600" o:gfxdata="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GsgHYAAAACwEAAA8AAAAAAAAAAQAgAAAAIgAA&#10;AGRycy9kb3ducmV2LnhtbFBLAQIUABQAAAAIAIdO4kCscoFmegIAANgEAAAOAAAAAAAAAAEAIAAA&#10;ACcBAABkcnMvZTJvRG9jLnhtbFBLBQYAAAAABgAGAFkBAAAT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-1232535</wp:posOffset>
                </wp:positionH>
                <wp:positionV relativeFrom="paragraph">
                  <wp:posOffset>1882775</wp:posOffset>
                </wp:positionV>
                <wp:extent cx="7621270" cy="1409700"/>
                <wp:effectExtent l="0" t="0" r="0" b="0"/>
                <wp:wrapNone/>
                <wp:docPr id="9" name="文本框 9"/>
                <wp:cNvGraphicFramePr/>
                <a:graphic xmlns:a="http://schemas.openxmlformats.org/drawingml/2006/main">
                  <a:graphicData uri="http://schemas.microsoft.com/office/word/2010/wordprocessingShape">
                    <wps:wsp>
                      <wps:cNvSpPr txBox="1"/>
                      <wps:spPr>
                        <a:xfrm>
                          <a:off x="941705" y="5377815"/>
                          <a:ext cx="7621270" cy="140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0A197">
                            <w:pPr>
                              <w:jc w:val="center"/>
                              <w:rPr>
                                <w:rFonts w:hint="eastAsia" w:ascii="华文行楷" w:hAnsi="华文行楷" w:eastAsia="华文行楷" w:cs="华文行楷"/>
                                <w:b/>
                                <w:bCs/>
                                <w:color w:val="237085"/>
                                <w:sz w:val="112"/>
                                <w:szCs w:val="112"/>
                                <w:lang w:val="en-US" w:eastAsia="zh-CN"/>
                              </w:rPr>
                            </w:pPr>
                            <w:r>
                              <w:rPr>
                                <w:rFonts w:hint="eastAsia" w:ascii="华文行楷" w:hAnsi="华文行楷" w:eastAsia="华文行楷" w:cs="华文行楷"/>
                                <w:b/>
                                <w:bCs/>
                                <w:color w:val="237085"/>
                                <w:sz w:val="112"/>
                                <w:szCs w:val="112"/>
                                <w:lang w:val="en-US" w:eastAsia="zh-CN"/>
                              </w:rPr>
                              <w:t>六安天河职业中专学校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05pt;margin-top:148.25pt;height:111pt;width:600.1pt;z-index:251662336;mso-width-relative:page;mso-height-relative:page;" filled="f" stroked="f" coordsize="21600,21600" o:gfxdata="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1RWXtwAAAANAQAADwAA&#10;AAAAAAABACAAAAAiAAAAZHJzL2Rvd25yZXYueG1sUEsBAhQAFAAAAAgAh07iQIdOtyBLAgAAcgQA&#10;AA4AAAAAAAAAAQAgAAAAKwEAAGRycy9lMm9Eb2MueG1sUEsFBgAAAAAGAAYAWQEAAOgFAAAAAA==&#10;">
                <v:fill on="f" focussize="0,0"/>
                <v:stroke on="f" weight="0.5pt"/>
                <v:imagedata o:title=""/>
                <o:lock v:ext="edit" aspectratio="f"/>
                <v:textbox>
                  <w:txbxContent>
                    <w:p w14:paraId="4CB0A197">
                      <w:pPr>
                        <w:jc w:val="center"/>
                        <w:rPr>
                          <w:rFonts w:hint="eastAsia" w:ascii="华文行楷" w:hAnsi="华文行楷" w:eastAsia="华文行楷" w:cs="华文行楷"/>
                          <w:b/>
                          <w:bCs/>
                          <w:color w:val="237085"/>
                          <w:sz w:val="112"/>
                          <w:szCs w:val="112"/>
                          <w:lang w:val="en-US" w:eastAsia="zh-CN"/>
                        </w:rPr>
                      </w:pPr>
                      <w:r>
                        <w:rPr>
                          <w:rFonts w:hint="eastAsia" w:ascii="华文行楷" w:hAnsi="华文行楷" w:eastAsia="华文行楷" w:cs="华文行楷"/>
                          <w:b/>
                          <w:bCs/>
                          <w:color w:val="237085"/>
                          <w:sz w:val="112"/>
                          <w:szCs w:val="112"/>
                          <w:lang w:val="en-US" w:eastAsia="zh-CN"/>
                        </w:rPr>
                        <w:t>六安天河职业中专学校</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1123950</wp:posOffset>
                </wp:positionH>
                <wp:positionV relativeFrom="paragraph">
                  <wp:posOffset>6967855</wp:posOffset>
                </wp:positionV>
                <wp:extent cx="3004185" cy="12852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004185" cy="1285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1DB44">
                            <w:pPr>
                              <w:jc w:val="center"/>
                              <w:rPr>
                                <w:rFonts w:hint="default" w:ascii="微软雅黑" w:hAnsi="微软雅黑" w:eastAsia="微软雅黑" w:cs="微软雅黑"/>
                                <w:b/>
                                <w:bCs/>
                                <w:color w:val="237085"/>
                                <w:sz w:val="48"/>
                                <w:szCs w:val="56"/>
                                <w:lang w:val="en-US"/>
                              </w:rPr>
                            </w:pPr>
                            <w:r>
                              <w:rPr>
                                <w:rFonts w:hint="eastAsia" w:ascii="微软雅黑" w:hAnsi="微软雅黑" w:eastAsia="微软雅黑" w:cs="微软雅黑"/>
                                <w:b/>
                                <w:bCs/>
                                <w:color w:val="237085"/>
                                <w:sz w:val="40"/>
                                <w:szCs w:val="40"/>
                                <w:lang w:val="en-US" w:eastAsia="zh-CN"/>
                              </w:rPr>
                              <w:t>2025年12月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5pt;margin-top:548.65pt;height:101.2pt;width:236.55pt;z-index:251664384;mso-width-relative:page;mso-height-relative:page;" filled="f" stroked="f" coordsize="21600,21600" o:gfxdata="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n4+d0AAAANAQAADwAAAAAAAAABACAAAAAi&#10;AAAAZHJzL2Rvd25yZXYueG1sUEsBAhQAFAAAAAgAh07iQCsBHwk+AgAAZwQAAA4AAAAAAAAAAQAg&#10;AAAALAEAAGRycy9lMm9Eb2MueG1sUEsFBgAAAAAGAAYAWQEAANwFAAAAAA==&#10;">
                <v:fill on="f" focussize="0,0"/>
                <v:stroke on="f" weight="0.5pt"/>
                <v:imagedata o:title=""/>
                <o:lock v:ext="edit" aspectratio="f"/>
                <v:textbox>
                  <w:txbxContent>
                    <w:p w14:paraId="5E61DB44">
                      <w:pPr>
                        <w:jc w:val="center"/>
                        <w:rPr>
                          <w:rFonts w:hint="default" w:ascii="微软雅黑" w:hAnsi="微软雅黑" w:eastAsia="微软雅黑" w:cs="微软雅黑"/>
                          <w:b/>
                          <w:bCs/>
                          <w:color w:val="237085"/>
                          <w:sz w:val="48"/>
                          <w:szCs w:val="56"/>
                          <w:lang w:val="en-US"/>
                        </w:rPr>
                      </w:pPr>
                      <w:r>
                        <w:rPr>
                          <w:rFonts w:hint="eastAsia" w:ascii="微软雅黑" w:hAnsi="微软雅黑" w:eastAsia="微软雅黑" w:cs="微软雅黑"/>
                          <w:b/>
                          <w:bCs/>
                          <w:color w:val="237085"/>
                          <w:sz w:val="40"/>
                          <w:szCs w:val="40"/>
                          <w:lang w:val="en-US" w:eastAsia="zh-CN"/>
                        </w:rPr>
                        <w:t>2025年12月</w:t>
                      </w:r>
                    </w:p>
                  </w:txbxContent>
                </v:textbox>
              </v:shape>
            </w:pict>
          </mc:Fallback>
        </mc:AlternateContent>
      </w:r>
    </w:p>
    <w:p w14:paraId="563899CF">
      <w:pPr>
        <w:rPr>
          <w:rFonts w:hint="eastAsia"/>
          <w:b/>
          <w:bCs/>
          <w:sz w:val="60"/>
          <w:szCs w:val="60"/>
          <w:lang w:val="en-US" w:eastAsia="zh-CN"/>
        </w:rPr>
      </w:pPr>
    </w:p>
    <w:p w14:paraId="09CDFA77">
      <w:pPr>
        <w:rPr>
          <w:rFonts w:hint="eastAsia"/>
          <w:b/>
          <w:bCs/>
          <w:sz w:val="60"/>
          <w:szCs w:val="60"/>
          <w:lang w:val="en-US" w:eastAsia="zh-CN"/>
        </w:rPr>
      </w:pPr>
    </w:p>
    <w:p w14:paraId="0D67D172">
      <w:pPr>
        <w:rPr>
          <w:rFonts w:hint="eastAsia"/>
          <w:b/>
          <w:bCs/>
          <w:sz w:val="60"/>
          <w:szCs w:val="60"/>
          <w:lang w:val="en-US" w:eastAsia="zh-CN"/>
        </w:rPr>
      </w:pPr>
    </w:p>
    <w:p w14:paraId="47B8AF7D">
      <w:pPr>
        <w:rPr>
          <w:rFonts w:hint="eastAsia"/>
          <w:b/>
          <w:bCs/>
          <w:sz w:val="60"/>
          <w:szCs w:val="60"/>
          <w:lang w:val="en-US" w:eastAsia="zh-CN"/>
        </w:rPr>
      </w:pPr>
    </w:p>
    <w:p w14:paraId="6ACCA303">
      <w:pPr>
        <w:rPr>
          <w:rFonts w:hint="default"/>
          <w:b/>
          <w:bCs/>
          <w:sz w:val="60"/>
          <w:szCs w:val="60"/>
          <w:lang w:val="en-US" w:eastAsia="zh-CN"/>
        </w:rPr>
        <w:sectPr>
          <w:pgSz w:w="11906" w:h="16838"/>
          <w:pgMar w:top="1440" w:right="1800" w:bottom="1440" w:left="1800" w:header="851" w:footer="992" w:gutter="0"/>
          <w:pgNumType w:start="1"/>
          <w:cols w:space="425" w:num="1"/>
          <w:docGrid w:type="lines" w:linePitch="312" w:charSpace="0"/>
        </w:sectPr>
      </w:pPr>
      <w:r>
        <w:rPr>
          <w:rFonts w:hint="eastAsia"/>
          <w:b/>
          <w:bCs/>
          <w:sz w:val="60"/>
          <w:szCs w:val="60"/>
          <w:lang w:val="en-US" w:eastAsia="zh-CN"/>
        </w:rPr>
        <w:t>年报公开形式及网址：</w:t>
      </w:r>
    </w:p>
    <w:p w14:paraId="463764A2">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rPr>
          <w:rFonts w:hint="eastAsia"/>
          <w:b/>
          <w:bCs/>
          <w:sz w:val="60"/>
          <w:szCs w:val="60"/>
          <w:lang w:val="en-US" w:eastAsia="zh-CN"/>
        </w:rPr>
      </w:pPr>
      <w:r>
        <w:rPr>
          <w:rFonts w:hint="eastAsia"/>
          <w:b/>
          <w:bCs/>
          <w:sz w:val="60"/>
          <w:szCs w:val="60"/>
          <w:lang w:val="en-US" w:eastAsia="zh-CN"/>
        </w:rPr>
        <w:drawing>
          <wp:inline distT="0" distB="0" distL="114300" distR="114300">
            <wp:extent cx="5505450" cy="7638415"/>
            <wp:effectExtent l="0" t="0" r="0" b="635"/>
            <wp:docPr id="3" name="图片 3" descr="真实性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真实性说明"/>
                    <pic:cNvPicPr>
                      <a:picLocks noChangeAspect="1"/>
                    </pic:cNvPicPr>
                  </pic:nvPicPr>
                  <pic:blipFill>
                    <a:blip r:embed="rId6"/>
                    <a:stretch>
                      <a:fillRect/>
                    </a:stretch>
                  </pic:blipFill>
                  <pic:spPr>
                    <a:xfrm>
                      <a:off x="0" y="0"/>
                      <a:ext cx="5505450" cy="7638415"/>
                    </a:xfrm>
                    <a:prstGeom prst="rect">
                      <a:avLst/>
                    </a:prstGeom>
                  </pic:spPr>
                </pic:pic>
              </a:graphicData>
            </a:graphic>
          </wp:inline>
        </w:drawing>
      </w:r>
    </w:p>
    <w:p w14:paraId="768CC31F">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rPr>
          <w:rFonts w:hint="eastAsia"/>
          <w:b/>
          <w:bCs/>
          <w:sz w:val="60"/>
          <w:szCs w:val="60"/>
          <w:lang w:val="en-US" w:eastAsia="zh-CN"/>
        </w:rPr>
      </w:pPr>
    </w:p>
    <w:p w14:paraId="4EFB38D7">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rPr>
          <w:rFonts w:hint="eastAsia"/>
          <w:b/>
          <w:bCs/>
          <w:sz w:val="60"/>
          <w:szCs w:val="60"/>
          <w:lang w:val="en-US" w:eastAsia="zh-CN"/>
        </w:rPr>
      </w:pPr>
    </w:p>
    <w:p w14:paraId="7F8548B7">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rPr>
          <w:rFonts w:hint="default"/>
          <w:b/>
          <w:bCs/>
          <w:sz w:val="60"/>
          <w:szCs w:val="60"/>
          <w:lang w:val="en-US" w:eastAsia="zh-CN"/>
        </w:rPr>
      </w:pPr>
      <w:r>
        <w:rPr>
          <w:rFonts w:hint="eastAsia"/>
          <w:b/>
          <w:bCs/>
          <w:sz w:val="60"/>
          <w:szCs w:val="60"/>
          <w:lang w:val="en-US" w:eastAsia="zh-CN"/>
        </w:rPr>
        <w:t>目录</w:t>
      </w:r>
    </w:p>
    <w:p w14:paraId="4B93E03F">
      <w:pPr>
        <w:pStyle w:val="14"/>
        <w:tabs>
          <w:tab w:val="right" w:leader="dot" w:pos="8306"/>
        </w:tabs>
        <w:rPr>
          <w:sz w:val="28"/>
          <w:szCs w:val="28"/>
        </w:rPr>
      </w:pPr>
      <w:bookmarkStart w:id="0" w:name="_Toc19721"/>
      <w:bookmarkStart w:id="1" w:name="_Toc21591"/>
      <w:r>
        <w:rPr>
          <w:rFonts w:hint="eastAsia"/>
          <w:szCs w:val="60"/>
          <w:lang w:val="en-US" w:eastAsia="zh-CN"/>
        </w:rPr>
        <w:fldChar w:fldCharType="begin"/>
      </w:r>
      <w:r>
        <w:rPr>
          <w:rFonts w:hint="eastAsia"/>
          <w:szCs w:val="60"/>
          <w:lang w:val="en-US" w:eastAsia="zh-CN"/>
        </w:rPr>
        <w:instrText xml:space="preserve">TOC \o "1-2" \h \u </w:instrText>
      </w:r>
      <w:r>
        <w:rPr>
          <w:rFonts w:hint="eastAsia"/>
          <w:szCs w:val="60"/>
          <w:lang w:val="en-US" w:eastAsia="zh-CN"/>
        </w:rPr>
        <w:fldChar w:fldCharType="separate"/>
      </w:r>
      <w:r>
        <w:rPr>
          <w:rFonts w:hint="eastAsia"/>
          <w:sz w:val="28"/>
          <w:szCs w:val="28"/>
          <w:lang w:val="en-US" w:eastAsia="zh-CN"/>
        </w:rPr>
        <w:fldChar w:fldCharType="begin"/>
      </w:r>
      <w:r>
        <w:rPr>
          <w:rFonts w:hint="eastAsia"/>
          <w:sz w:val="28"/>
          <w:szCs w:val="28"/>
          <w:lang w:val="en-US" w:eastAsia="zh-CN"/>
        </w:rPr>
        <w:instrText xml:space="preserve"> HYPERLINK \l _Toc31035 </w:instrText>
      </w:r>
      <w:r>
        <w:rPr>
          <w:rFonts w:hint="eastAsia"/>
          <w:sz w:val="28"/>
          <w:szCs w:val="28"/>
          <w:lang w:val="en-US" w:eastAsia="zh-CN"/>
        </w:rPr>
        <w:fldChar w:fldCharType="separate"/>
      </w:r>
      <w:r>
        <w:rPr>
          <w:rFonts w:hint="eastAsia"/>
          <w:sz w:val="28"/>
          <w:szCs w:val="28"/>
          <w:lang w:val="en-US" w:eastAsia="zh-CN"/>
        </w:rPr>
        <w:t>图目录</w:t>
      </w:r>
      <w:r>
        <w:rPr>
          <w:sz w:val="28"/>
          <w:szCs w:val="28"/>
        </w:rPr>
        <w:tab/>
      </w:r>
      <w:r>
        <w:rPr>
          <w:sz w:val="28"/>
          <w:szCs w:val="28"/>
        </w:rPr>
        <w:fldChar w:fldCharType="begin"/>
      </w:r>
      <w:r>
        <w:rPr>
          <w:sz w:val="28"/>
          <w:szCs w:val="28"/>
        </w:rPr>
        <w:instrText xml:space="preserve"> PAGEREF _Toc31035 \h </w:instrText>
      </w:r>
      <w:r>
        <w:rPr>
          <w:sz w:val="28"/>
          <w:szCs w:val="28"/>
        </w:rPr>
        <w:fldChar w:fldCharType="separate"/>
      </w:r>
      <w:r>
        <w:rPr>
          <w:sz w:val="28"/>
          <w:szCs w:val="28"/>
        </w:rPr>
        <w:t>4</w:t>
      </w:r>
      <w:r>
        <w:rPr>
          <w:sz w:val="28"/>
          <w:szCs w:val="28"/>
        </w:rPr>
        <w:fldChar w:fldCharType="end"/>
      </w:r>
      <w:r>
        <w:rPr>
          <w:rFonts w:hint="eastAsia"/>
          <w:sz w:val="28"/>
          <w:szCs w:val="28"/>
          <w:lang w:val="en-US" w:eastAsia="zh-CN"/>
        </w:rPr>
        <w:fldChar w:fldCharType="end"/>
      </w:r>
    </w:p>
    <w:p w14:paraId="115B0DD3">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_Toc13682 </w:instrText>
      </w:r>
      <w:r>
        <w:rPr>
          <w:rFonts w:hint="eastAsia"/>
          <w:sz w:val="28"/>
          <w:szCs w:val="28"/>
          <w:lang w:val="en-US" w:eastAsia="zh-CN"/>
        </w:rPr>
        <w:fldChar w:fldCharType="separate"/>
      </w:r>
      <w:r>
        <w:rPr>
          <w:rFonts w:hint="eastAsia"/>
          <w:bCs/>
          <w:sz w:val="28"/>
          <w:szCs w:val="28"/>
          <w:lang w:val="en-US" w:eastAsia="zh-CN"/>
        </w:rPr>
        <w:t>表目录</w:t>
      </w:r>
      <w:r>
        <w:rPr>
          <w:sz w:val="28"/>
          <w:szCs w:val="28"/>
        </w:rPr>
        <w:tab/>
      </w:r>
      <w:r>
        <w:rPr>
          <w:sz w:val="28"/>
          <w:szCs w:val="28"/>
        </w:rPr>
        <w:fldChar w:fldCharType="begin"/>
      </w:r>
      <w:r>
        <w:rPr>
          <w:sz w:val="28"/>
          <w:szCs w:val="28"/>
        </w:rPr>
        <w:instrText xml:space="preserve"> PAGEREF _Toc13682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14:paraId="2CF25F28">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_Toc3634 </w:instrText>
      </w:r>
      <w:r>
        <w:rPr>
          <w:rFonts w:hint="eastAsia"/>
          <w:sz w:val="28"/>
          <w:szCs w:val="28"/>
          <w:lang w:val="en-US" w:eastAsia="zh-CN"/>
        </w:rPr>
        <w:fldChar w:fldCharType="separate"/>
      </w:r>
      <w:r>
        <w:rPr>
          <w:rFonts w:hint="eastAsia"/>
          <w:sz w:val="28"/>
          <w:szCs w:val="28"/>
          <w:lang w:val="en-US" w:eastAsia="zh-CN"/>
        </w:rPr>
        <w:t>案例目录</w:t>
      </w:r>
      <w:r>
        <w:rPr>
          <w:sz w:val="28"/>
          <w:szCs w:val="28"/>
        </w:rPr>
        <w:tab/>
      </w:r>
      <w:r>
        <w:rPr>
          <w:sz w:val="28"/>
          <w:szCs w:val="28"/>
        </w:rPr>
        <w:fldChar w:fldCharType="begin"/>
      </w:r>
      <w:r>
        <w:rPr>
          <w:sz w:val="28"/>
          <w:szCs w:val="28"/>
        </w:rPr>
        <w:instrText xml:space="preserve"> PAGEREF _Toc3634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14:paraId="168EABAA">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_Toc14900 </w:instrText>
      </w:r>
      <w:r>
        <w:rPr>
          <w:rFonts w:hint="eastAsia"/>
          <w:sz w:val="28"/>
          <w:szCs w:val="28"/>
          <w:lang w:val="en-US" w:eastAsia="zh-CN"/>
        </w:rPr>
        <w:fldChar w:fldCharType="separate"/>
      </w:r>
      <w:r>
        <w:rPr>
          <w:rFonts w:hint="eastAsia"/>
          <w:sz w:val="28"/>
          <w:szCs w:val="28"/>
          <w:lang w:val="en-US" w:eastAsia="zh-CN"/>
        </w:rPr>
        <w:t>前言</w:t>
      </w:r>
      <w:r>
        <w:rPr>
          <w:sz w:val="28"/>
          <w:szCs w:val="28"/>
        </w:rPr>
        <w:tab/>
      </w:r>
      <w:r>
        <w:rPr>
          <w:sz w:val="28"/>
          <w:szCs w:val="28"/>
        </w:rPr>
        <w:fldChar w:fldCharType="begin"/>
      </w:r>
      <w:r>
        <w:rPr>
          <w:sz w:val="28"/>
          <w:szCs w:val="28"/>
        </w:rPr>
        <w:instrText xml:space="preserve"> PAGEREF _Toc14900 \h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14:paraId="22BE0430">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_Toc14363 </w:instrText>
      </w:r>
      <w:r>
        <w:rPr>
          <w:rFonts w:hint="eastAsia"/>
          <w:sz w:val="28"/>
          <w:szCs w:val="28"/>
          <w:lang w:val="en-US" w:eastAsia="zh-CN"/>
        </w:rPr>
        <w:fldChar w:fldCharType="separate"/>
      </w:r>
      <w:r>
        <w:rPr>
          <w:rFonts w:hint="eastAsia" w:ascii="黑体" w:hAnsi="黑体" w:eastAsia="黑体" w:cs="黑体"/>
          <w:sz w:val="28"/>
          <w:szCs w:val="28"/>
          <w:lang w:val="en-US" w:eastAsia="zh-CN"/>
        </w:rPr>
        <w:t>1.基本情况</w:t>
      </w:r>
      <w:r>
        <w:rPr>
          <w:sz w:val="28"/>
          <w:szCs w:val="28"/>
        </w:rPr>
        <w:tab/>
      </w:r>
      <w:r>
        <w:rPr>
          <w:sz w:val="28"/>
          <w:szCs w:val="28"/>
        </w:rPr>
        <w:fldChar w:fldCharType="begin"/>
      </w:r>
      <w:r>
        <w:rPr>
          <w:sz w:val="28"/>
          <w:szCs w:val="28"/>
        </w:rPr>
        <w:instrText xml:space="preserve"> PAGEREF _Toc14363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14:paraId="28F4EB4D">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_Toc2707 </w:instrText>
      </w:r>
      <w:r>
        <w:rPr>
          <w:rFonts w:hint="eastAsia"/>
          <w:sz w:val="28"/>
          <w:szCs w:val="28"/>
          <w:lang w:val="en-US" w:eastAsia="zh-CN"/>
        </w:rPr>
        <w:fldChar w:fldCharType="separate"/>
      </w:r>
      <w:r>
        <w:rPr>
          <w:rFonts w:hint="eastAsia" w:ascii="黑体" w:hAnsi="黑体" w:eastAsia="黑体" w:cs="黑体"/>
          <w:sz w:val="28"/>
          <w:szCs w:val="28"/>
          <w:lang w:val="en-US" w:eastAsia="zh-CN"/>
        </w:rPr>
        <w:t>1.1规模结构</w:t>
      </w:r>
      <w:r>
        <w:rPr>
          <w:sz w:val="28"/>
          <w:szCs w:val="28"/>
        </w:rPr>
        <w:tab/>
      </w:r>
      <w:r>
        <w:rPr>
          <w:sz w:val="28"/>
          <w:szCs w:val="28"/>
        </w:rPr>
        <w:fldChar w:fldCharType="begin"/>
      </w:r>
      <w:r>
        <w:rPr>
          <w:sz w:val="28"/>
          <w:szCs w:val="28"/>
        </w:rPr>
        <w:instrText xml:space="preserve"> PAGEREF _Toc2707 \h </w:instrText>
      </w:r>
      <w:r>
        <w:rPr>
          <w:sz w:val="28"/>
          <w:szCs w:val="28"/>
        </w:rPr>
        <w:fldChar w:fldCharType="separate"/>
      </w:r>
      <w:r>
        <w:rPr>
          <w:sz w:val="28"/>
          <w:szCs w:val="28"/>
        </w:rPr>
        <w:t>8</w:t>
      </w:r>
      <w:r>
        <w:rPr>
          <w:sz w:val="28"/>
          <w:szCs w:val="28"/>
        </w:rPr>
        <w:fldChar w:fldCharType="end"/>
      </w:r>
      <w:r>
        <w:rPr>
          <w:rFonts w:hint="eastAsia"/>
          <w:sz w:val="28"/>
          <w:szCs w:val="28"/>
          <w:lang w:val="en-US" w:eastAsia="zh-CN"/>
        </w:rPr>
        <w:fldChar w:fldCharType="end"/>
      </w:r>
    </w:p>
    <w:p w14:paraId="18C21C08">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_Toc30931 </w:instrText>
      </w:r>
      <w:r>
        <w:rPr>
          <w:rFonts w:hint="eastAsia"/>
          <w:sz w:val="28"/>
          <w:szCs w:val="28"/>
          <w:lang w:val="en-US" w:eastAsia="zh-CN"/>
        </w:rPr>
        <w:fldChar w:fldCharType="separate"/>
      </w:r>
      <w:r>
        <w:rPr>
          <w:rFonts w:hint="eastAsia" w:ascii="黑体" w:hAnsi="黑体" w:eastAsia="黑体" w:cs="黑体"/>
          <w:sz w:val="28"/>
          <w:szCs w:val="28"/>
          <w:lang w:val="en-US" w:eastAsia="zh-CN"/>
        </w:rPr>
        <w:t>1.2资源投入</w:t>
      </w:r>
      <w:r>
        <w:rPr>
          <w:sz w:val="28"/>
          <w:szCs w:val="28"/>
        </w:rPr>
        <w:tab/>
      </w:r>
      <w:r>
        <w:rPr>
          <w:sz w:val="28"/>
          <w:szCs w:val="28"/>
        </w:rPr>
        <w:fldChar w:fldCharType="begin"/>
      </w:r>
      <w:r>
        <w:rPr>
          <w:sz w:val="28"/>
          <w:szCs w:val="28"/>
        </w:rPr>
        <w:instrText xml:space="preserve"> PAGEREF _Toc30931 \h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14:paraId="11D8A7A9">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_Toc24200 </w:instrText>
      </w:r>
      <w:r>
        <w:rPr>
          <w:rFonts w:hint="eastAsia"/>
          <w:sz w:val="28"/>
          <w:szCs w:val="28"/>
          <w:lang w:val="en-US" w:eastAsia="zh-CN"/>
        </w:rPr>
        <w:fldChar w:fldCharType="separate"/>
      </w:r>
      <w:r>
        <w:rPr>
          <w:rFonts w:hint="eastAsia" w:ascii="黑体" w:hAnsi="黑体" w:eastAsia="黑体" w:cs="黑体"/>
          <w:sz w:val="28"/>
          <w:szCs w:val="28"/>
          <w:lang w:val="en-US" w:eastAsia="zh-CN"/>
        </w:rPr>
        <w:t>1.3师资力量</w:t>
      </w:r>
      <w:r>
        <w:rPr>
          <w:sz w:val="28"/>
          <w:szCs w:val="28"/>
        </w:rPr>
        <w:tab/>
      </w:r>
      <w:r>
        <w:rPr>
          <w:sz w:val="28"/>
          <w:szCs w:val="28"/>
        </w:rPr>
        <w:fldChar w:fldCharType="begin"/>
      </w:r>
      <w:r>
        <w:rPr>
          <w:sz w:val="28"/>
          <w:szCs w:val="28"/>
        </w:rPr>
        <w:instrText xml:space="preserve"> PAGEREF _Toc24200 \h </w:instrText>
      </w:r>
      <w:r>
        <w:rPr>
          <w:sz w:val="28"/>
          <w:szCs w:val="28"/>
        </w:rPr>
        <w:fldChar w:fldCharType="separate"/>
      </w:r>
      <w:r>
        <w:rPr>
          <w:sz w:val="28"/>
          <w:szCs w:val="28"/>
        </w:rPr>
        <w:t>14</w:t>
      </w:r>
      <w:r>
        <w:rPr>
          <w:sz w:val="28"/>
          <w:szCs w:val="28"/>
        </w:rPr>
        <w:fldChar w:fldCharType="end"/>
      </w:r>
      <w:r>
        <w:rPr>
          <w:rFonts w:hint="eastAsia"/>
          <w:sz w:val="28"/>
          <w:szCs w:val="28"/>
          <w:lang w:val="en-US" w:eastAsia="zh-CN"/>
        </w:rPr>
        <w:fldChar w:fldCharType="end"/>
      </w:r>
    </w:p>
    <w:p w14:paraId="00F4EE14">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_Toc14271 </w:instrText>
      </w:r>
      <w:r>
        <w:rPr>
          <w:rFonts w:hint="eastAsia"/>
          <w:sz w:val="28"/>
          <w:szCs w:val="28"/>
          <w:lang w:val="en-US" w:eastAsia="zh-CN"/>
        </w:rPr>
        <w:fldChar w:fldCharType="separate"/>
      </w:r>
      <w:r>
        <w:rPr>
          <w:rFonts w:hint="eastAsia" w:ascii="黑体" w:hAnsi="黑体" w:eastAsia="黑体" w:cs="黑体"/>
          <w:sz w:val="28"/>
          <w:szCs w:val="28"/>
          <w:lang w:val="en-US" w:eastAsia="zh-CN"/>
        </w:rPr>
        <w:t>2.人才培养</w:t>
      </w:r>
      <w:r>
        <w:rPr>
          <w:sz w:val="28"/>
          <w:szCs w:val="28"/>
        </w:rPr>
        <w:tab/>
      </w:r>
      <w:r>
        <w:rPr>
          <w:sz w:val="28"/>
          <w:szCs w:val="28"/>
        </w:rPr>
        <w:fldChar w:fldCharType="begin"/>
      </w:r>
      <w:r>
        <w:rPr>
          <w:sz w:val="28"/>
          <w:szCs w:val="28"/>
        </w:rPr>
        <w:instrText xml:space="preserve"> PAGEREF _Toc14271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14:paraId="6246F5A5">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_Toc31239 </w:instrText>
      </w:r>
      <w:r>
        <w:rPr>
          <w:rFonts w:hint="eastAsia"/>
          <w:sz w:val="28"/>
          <w:szCs w:val="28"/>
          <w:lang w:val="en-US" w:eastAsia="zh-CN"/>
        </w:rPr>
        <w:fldChar w:fldCharType="separate"/>
      </w:r>
      <w:r>
        <w:rPr>
          <w:rFonts w:hint="eastAsia" w:ascii="黑体" w:hAnsi="黑体" w:eastAsia="黑体" w:cs="黑体"/>
          <w:sz w:val="28"/>
          <w:szCs w:val="28"/>
          <w:lang w:val="en-US" w:eastAsia="zh-CN"/>
        </w:rPr>
        <w:t>2.1立德树人</w:t>
      </w:r>
      <w:r>
        <w:rPr>
          <w:sz w:val="28"/>
          <w:szCs w:val="28"/>
        </w:rPr>
        <w:tab/>
      </w:r>
      <w:r>
        <w:rPr>
          <w:sz w:val="28"/>
          <w:szCs w:val="28"/>
        </w:rPr>
        <w:fldChar w:fldCharType="begin"/>
      </w:r>
      <w:r>
        <w:rPr>
          <w:sz w:val="28"/>
          <w:szCs w:val="28"/>
        </w:rPr>
        <w:instrText xml:space="preserve"> PAGEREF _Toc31239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14:paraId="278BDDFF">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_Toc17047 </w:instrText>
      </w:r>
      <w:r>
        <w:rPr>
          <w:rFonts w:hint="eastAsia"/>
          <w:sz w:val="28"/>
          <w:szCs w:val="28"/>
          <w:lang w:val="en-US" w:eastAsia="zh-CN"/>
        </w:rPr>
        <w:fldChar w:fldCharType="separate"/>
      </w:r>
      <w:r>
        <w:rPr>
          <w:rFonts w:hint="eastAsia" w:ascii="黑体" w:hAnsi="黑体" w:eastAsia="黑体" w:cs="黑体"/>
          <w:sz w:val="28"/>
          <w:szCs w:val="28"/>
          <w:lang w:val="en-US" w:eastAsia="zh-CN"/>
        </w:rPr>
        <w:t>2.2技能成才</w:t>
      </w:r>
      <w:r>
        <w:rPr>
          <w:sz w:val="28"/>
          <w:szCs w:val="28"/>
        </w:rPr>
        <w:tab/>
      </w:r>
      <w:r>
        <w:rPr>
          <w:sz w:val="28"/>
          <w:szCs w:val="28"/>
        </w:rPr>
        <w:fldChar w:fldCharType="begin"/>
      </w:r>
      <w:r>
        <w:rPr>
          <w:sz w:val="28"/>
          <w:szCs w:val="28"/>
        </w:rPr>
        <w:instrText xml:space="preserve"> PAGEREF _Toc17047 \h </w:instrText>
      </w:r>
      <w:r>
        <w:rPr>
          <w:sz w:val="28"/>
          <w:szCs w:val="28"/>
        </w:rPr>
        <w:fldChar w:fldCharType="separate"/>
      </w:r>
      <w:r>
        <w:rPr>
          <w:sz w:val="28"/>
          <w:szCs w:val="28"/>
        </w:rPr>
        <w:t>26</w:t>
      </w:r>
      <w:r>
        <w:rPr>
          <w:sz w:val="28"/>
          <w:szCs w:val="28"/>
        </w:rPr>
        <w:fldChar w:fldCharType="end"/>
      </w:r>
      <w:r>
        <w:rPr>
          <w:rFonts w:hint="eastAsia"/>
          <w:sz w:val="28"/>
          <w:szCs w:val="28"/>
          <w:lang w:val="en-US" w:eastAsia="zh-CN"/>
        </w:rPr>
        <w:fldChar w:fldCharType="end"/>
      </w:r>
    </w:p>
    <w:p w14:paraId="3A8B9FF9">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_Toc3864 </w:instrText>
      </w:r>
      <w:r>
        <w:rPr>
          <w:rFonts w:hint="eastAsia"/>
          <w:sz w:val="28"/>
          <w:szCs w:val="28"/>
          <w:lang w:val="en-US" w:eastAsia="zh-CN"/>
        </w:rPr>
        <w:fldChar w:fldCharType="separate"/>
      </w:r>
      <w:r>
        <w:rPr>
          <w:rFonts w:hint="eastAsia" w:ascii="黑体" w:hAnsi="黑体" w:eastAsia="黑体" w:cs="黑体"/>
          <w:sz w:val="28"/>
          <w:szCs w:val="28"/>
          <w:lang w:val="en-US" w:eastAsia="zh-CN"/>
        </w:rPr>
        <w:t>2.3在校体验</w:t>
      </w:r>
      <w:r>
        <w:rPr>
          <w:sz w:val="28"/>
          <w:szCs w:val="28"/>
        </w:rPr>
        <w:tab/>
      </w:r>
      <w:r>
        <w:rPr>
          <w:sz w:val="28"/>
          <w:szCs w:val="28"/>
        </w:rPr>
        <w:fldChar w:fldCharType="begin"/>
      </w:r>
      <w:r>
        <w:rPr>
          <w:sz w:val="28"/>
          <w:szCs w:val="28"/>
        </w:rPr>
        <w:instrText xml:space="preserve"> PAGEREF _Toc3864 \h </w:instrText>
      </w:r>
      <w:r>
        <w:rPr>
          <w:sz w:val="28"/>
          <w:szCs w:val="28"/>
        </w:rPr>
        <w:fldChar w:fldCharType="separate"/>
      </w:r>
      <w:r>
        <w:rPr>
          <w:sz w:val="28"/>
          <w:szCs w:val="28"/>
        </w:rPr>
        <w:t>27</w:t>
      </w:r>
      <w:r>
        <w:rPr>
          <w:sz w:val="28"/>
          <w:szCs w:val="28"/>
        </w:rPr>
        <w:fldChar w:fldCharType="end"/>
      </w:r>
      <w:r>
        <w:rPr>
          <w:rFonts w:hint="eastAsia"/>
          <w:sz w:val="28"/>
          <w:szCs w:val="28"/>
          <w:lang w:val="en-US" w:eastAsia="zh-CN"/>
        </w:rPr>
        <w:fldChar w:fldCharType="end"/>
      </w:r>
    </w:p>
    <w:p w14:paraId="508AF028">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_Toc31156 </w:instrText>
      </w:r>
      <w:r>
        <w:rPr>
          <w:rFonts w:hint="eastAsia"/>
          <w:sz w:val="28"/>
          <w:szCs w:val="28"/>
          <w:lang w:val="en-US" w:eastAsia="zh-CN"/>
        </w:rPr>
        <w:fldChar w:fldCharType="separate"/>
      </w:r>
      <w:r>
        <w:rPr>
          <w:rFonts w:hint="eastAsia" w:ascii="黑体" w:hAnsi="黑体" w:eastAsia="黑体" w:cs="黑体"/>
          <w:sz w:val="28"/>
          <w:szCs w:val="28"/>
          <w:lang w:val="en-US" w:eastAsia="zh-CN"/>
        </w:rPr>
        <w:t>2.4职业发展</w:t>
      </w:r>
      <w:r>
        <w:rPr>
          <w:sz w:val="28"/>
          <w:szCs w:val="28"/>
        </w:rPr>
        <w:tab/>
      </w:r>
      <w:r>
        <w:rPr>
          <w:sz w:val="28"/>
          <w:szCs w:val="28"/>
        </w:rPr>
        <w:fldChar w:fldCharType="begin"/>
      </w:r>
      <w:r>
        <w:rPr>
          <w:sz w:val="28"/>
          <w:szCs w:val="28"/>
        </w:rPr>
        <w:instrText xml:space="preserve"> PAGEREF _Toc31156 \h </w:instrText>
      </w:r>
      <w:r>
        <w:rPr>
          <w:sz w:val="28"/>
          <w:szCs w:val="28"/>
        </w:rPr>
        <w:fldChar w:fldCharType="separate"/>
      </w:r>
      <w:r>
        <w:rPr>
          <w:sz w:val="28"/>
          <w:szCs w:val="28"/>
        </w:rPr>
        <w:t>29</w:t>
      </w:r>
      <w:r>
        <w:rPr>
          <w:sz w:val="28"/>
          <w:szCs w:val="28"/>
        </w:rPr>
        <w:fldChar w:fldCharType="end"/>
      </w:r>
      <w:r>
        <w:rPr>
          <w:rFonts w:hint="eastAsia"/>
          <w:sz w:val="28"/>
          <w:szCs w:val="28"/>
          <w:lang w:val="en-US" w:eastAsia="zh-CN"/>
        </w:rPr>
        <w:fldChar w:fldCharType="end"/>
      </w:r>
    </w:p>
    <w:p w14:paraId="3D4FC2A5">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_Toc16761 </w:instrText>
      </w:r>
      <w:r>
        <w:rPr>
          <w:rFonts w:hint="eastAsia"/>
          <w:sz w:val="28"/>
          <w:szCs w:val="28"/>
          <w:lang w:val="en-US" w:eastAsia="zh-CN"/>
        </w:rPr>
        <w:fldChar w:fldCharType="separate"/>
      </w:r>
      <w:r>
        <w:rPr>
          <w:rFonts w:hint="eastAsia" w:ascii="黑体" w:hAnsi="黑体" w:eastAsia="黑体" w:cs="黑体"/>
          <w:sz w:val="28"/>
          <w:szCs w:val="28"/>
          <w:lang w:val="en-US" w:eastAsia="zh-CN"/>
        </w:rPr>
        <w:t>2.5专业建设</w:t>
      </w:r>
      <w:r>
        <w:rPr>
          <w:sz w:val="28"/>
          <w:szCs w:val="28"/>
        </w:rPr>
        <w:tab/>
      </w:r>
      <w:r>
        <w:rPr>
          <w:sz w:val="28"/>
          <w:szCs w:val="28"/>
        </w:rPr>
        <w:fldChar w:fldCharType="begin"/>
      </w:r>
      <w:r>
        <w:rPr>
          <w:sz w:val="28"/>
          <w:szCs w:val="28"/>
        </w:rPr>
        <w:instrText xml:space="preserve"> PAGEREF _Toc16761 \h </w:instrText>
      </w:r>
      <w:r>
        <w:rPr>
          <w:sz w:val="28"/>
          <w:szCs w:val="28"/>
        </w:rPr>
        <w:fldChar w:fldCharType="separate"/>
      </w:r>
      <w:r>
        <w:rPr>
          <w:sz w:val="28"/>
          <w:szCs w:val="28"/>
        </w:rPr>
        <w:t>31</w:t>
      </w:r>
      <w:r>
        <w:rPr>
          <w:sz w:val="28"/>
          <w:szCs w:val="28"/>
        </w:rPr>
        <w:fldChar w:fldCharType="end"/>
      </w:r>
      <w:r>
        <w:rPr>
          <w:rFonts w:hint="eastAsia"/>
          <w:sz w:val="28"/>
          <w:szCs w:val="28"/>
          <w:lang w:val="en-US" w:eastAsia="zh-CN"/>
        </w:rPr>
        <w:fldChar w:fldCharType="end"/>
      </w:r>
    </w:p>
    <w:p w14:paraId="3FB27267">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_Toc11152 </w:instrText>
      </w:r>
      <w:r>
        <w:rPr>
          <w:rFonts w:hint="eastAsia"/>
          <w:sz w:val="28"/>
          <w:szCs w:val="28"/>
          <w:lang w:val="en-US" w:eastAsia="zh-CN"/>
        </w:rPr>
        <w:fldChar w:fldCharType="separate"/>
      </w:r>
      <w:r>
        <w:rPr>
          <w:rFonts w:hint="eastAsia" w:ascii="黑体" w:hAnsi="黑体" w:eastAsia="黑体" w:cs="黑体"/>
          <w:sz w:val="28"/>
          <w:szCs w:val="28"/>
          <w:lang w:val="en-US" w:eastAsia="zh-CN"/>
        </w:rPr>
        <w:t>2.6课程建设</w:t>
      </w:r>
      <w:r>
        <w:rPr>
          <w:sz w:val="28"/>
          <w:szCs w:val="28"/>
        </w:rPr>
        <w:tab/>
      </w:r>
      <w:r>
        <w:rPr>
          <w:sz w:val="28"/>
          <w:szCs w:val="28"/>
        </w:rPr>
        <w:fldChar w:fldCharType="begin"/>
      </w:r>
      <w:r>
        <w:rPr>
          <w:sz w:val="28"/>
          <w:szCs w:val="28"/>
        </w:rPr>
        <w:instrText xml:space="preserve"> PAGEREF _Toc11152 \h </w:instrText>
      </w:r>
      <w:r>
        <w:rPr>
          <w:sz w:val="28"/>
          <w:szCs w:val="28"/>
        </w:rPr>
        <w:fldChar w:fldCharType="separate"/>
      </w:r>
      <w:r>
        <w:rPr>
          <w:sz w:val="28"/>
          <w:szCs w:val="28"/>
        </w:rPr>
        <w:t>32</w:t>
      </w:r>
      <w:r>
        <w:rPr>
          <w:sz w:val="28"/>
          <w:szCs w:val="28"/>
        </w:rPr>
        <w:fldChar w:fldCharType="end"/>
      </w:r>
      <w:r>
        <w:rPr>
          <w:rFonts w:hint="eastAsia"/>
          <w:sz w:val="28"/>
          <w:szCs w:val="28"/>
          <w:lang w:val="en-US" w:eastAsia="zh-CN"/>
        </w:rPr>
        <w:fldChar w:fldCharType="end"/>
      </w:r>
    </w:p>
    <w:p w14:paraId="4722ADCA">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_Toc24711 </w:instrText>
      </w:r>
      <w:r>
        <w:rPr>
          <w:rFonts w:hint="eastAsia"/>
          <w:sz w:val="28"/>
          <w:szCs w:val="28"/>
          <w:lang w:val="en-US" w:eastAsia="zh-CN"/>
        </w:rPr>
        <w:fldChar w:fldCharType="separate"/>
      </w:r>
      <w:r>
        <w:rPr>
          <w:rFonts w:hint="eastAsia" w:ascii="黑体" w:hAnsi="黑体" w:eastAsia="黑体" w:cs="黑体"/>
          <w:sz w:val="28"/>
          <w:szCs w:val="28"/>
          <w:lang w:val="en-US" w:eastAsia="zh-CN"/>
        </w:rPr>
        <w:t>2.7三教改革</w:t>
      </w:r>
      <w:r>
        <w:rPr>
          <w:sz w:val="28"/>
          <w:szCs w:val="28"/>
        </w:rPr>
        <w:tab/>
      </w:r>
      <w:r>
        <w:rPr>
          <w:sz w:val="28"/>
          <w:szCs w:val="28"/>
        </w:rPr>
        <w:fldChar w:fldCharType="begin"/>
      </w:r>
      <w:r>
        <w:rPr>
          <w:sz w:val="28"/>
          <w:szCs w:val="28"/>
        </w:rPr>
        <w:instrText xml:space="preserve"> PAGEREF _Toc24711 \h </w:instrText>
      </w:r>
      <w:r>
        <w:rPr>
          <w:sz w:val="28"/>
          <w:szCs w:val="28"/>
        </w:rPr>
        <w:fldChar w:fldCharType="separate"/>
      </w:r>
      <w:r>
        <w:rPr>
          <w:sz w:val="28"/>
          <w:szCs w:val="28"/>
        </w:rPr>
        <w:t>32</w:t>
      </w:r>
      <w:r>
        <w:rPr>
          <w:sz w:val="28"/>
          <w:szCs w:val="28"/>
        </w:rPr>
        <w:fldChar w:fldCharType="end"/>
      </w:r>
      <w:r>
        <w:rPr>
          <w:rFonts w:hint="eastAsia"/>
          <w:sz w:val="28"/>
          <w:szCs w:val="28"/>
          <w:lang w:val="en-US" w:eastAsia="zh-CN"/>
        </w:rPr>
        <w:fldChar w:fldCharType="end"/>
      </w:r>
    </w:p>
    <w:p w14:paraId="688875A1">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_Toc416 </w:instrText>
      </w:r>
      <w:r>
        <w:rPr>
          <w:rFonts w:hint="eastAsia"/>
          <w:sz w:val="28"/>
          <w:szCs w:val="28"/>
          <w:lang w:val="en-US" w:eastAsia="zh-CN"/>
        </w:rPr>
        <w:fldChar w:fldCharType="separate"/>
      </w:r>
      <w:r>
        <w:rPr>
          <w:rFonts w:hint="eastAsia" w:ascii="黑体" w:hAnsi="黑体" w:eastAsia="黑体" w:cs="黑体"/>
          <w:sz w:val="28"/>
          <w:szCs w:val="28"/>
          <w:lang w:val="en-US" w:eastAsia="zh-CN"/>
        </w:rPr>
        <w:t>3.文化传承</w:t>
      </w:r>
      <w:r>
        <w:rPr>
          <w:sz w:val="28"/>
          <w:szCs w:val="28"/>
        </w:rPr>
        <w:tab/>
      </w:r>
      <w:r>
        <w:rPr>
          <w:sz w:val="28"/>
          <w:szCs w:val="28"/>
        </w:rPr>
        <w:fldChar w:fldCharType="begin"/>
      </w:r>
      <w:r>
        <w:rPr>
          <w:sz w:val="28"/>
          <w:szCs w:val="28"/>
        </w:rPr>
        <w:instrText xml:space="preserve"> PAGEREF _Toc416 \h </w:instrText>
      </w:r>
      <w:r>
        <w:rPr>
          <w:sz w:val="28"/>
          <w:szCs w:val="28"/>
        </w:rPr>
        <w:fldChar w:fldCharType="separate"/>
      </w:r>
      <w:r>
        <w:rPr>
          <w:sz w:val="28"/>
          <w:szCs w:val="28"/>
        </w:rPr>
        <w:t>34</w:t>
      </w:r>
      <w:r>
        <w:rPr>
          <w:sz w:val="28"/>
          <w:szCs w:val="28"/>
        </w:rPr>
        <w:fldChar w:fldCharType="end"/>
      </w:r>
      <w:r>
        <w:rPr>
          <w:rFonts w:hint="eastAsia"/>
          <w:sz w:val="28"/>
          <w:szCs w:val="28"/>
          <w:lang w:val="en-US" w:eastAsia="zh-CN"/>
        </w:rPr>
        <w:fldChar w:fldCharType="end"/>
      </w:r>
    </w:p>
    <w:p w14:paraId="0FFCD3CF">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_Toc20805 </w:instrText>
      </w:r>
      <w:r>
        <w:rPr>
          <w:rFonts w:hint="eastAsia"/>
          <w:sz w:val="28"/>
          <w:szCs w:val="28"/>
          <w:lang w:val="en-US" w:eastAsia="zh-CN"/>
        </w:rPr>
        <w:fldChar w:fldCharType="separate"/>
      </w:r>
      <w:r>
        <w:rPr>
          <w:rFonts w:hint="eastAsia" w:ascii="黑体" w:hAnsi="黑体" w:eastAsia="黑体" w:cs="黑体"/>
          <w:sz w:val="28"/>
          <w:szCs w:val="28"/>
          <w:lang w:val="en-US" w:eastAsia="zh-CN"/>
        </w:rPr>
        <w:t>3.1工匠精神传承</w:t>
      </w:r>
      <w:r>
        <w:rPr>
          <w:sz w:val="28"/>
          <w:szCs w:val="28"/>
        </w:rPr>
        <w:tab/>
      </w:r>
      <w:r>
        <w:rPr>
          <w:sz w:val="28"/>
          <w:szCs w:val="28"/>
        </w:rPr>
        <w:fldChar w:fldCharType="begin"/>
      </w:r>
      <w:r>
        <w:rPr>
          <w:sz w:val="28"/>
          <w:szCs w:val="28"/>
        </w:rPr>
        <w:instrText xml:space="preserve"> PAGEREF _Toc20805 \h </w:instrText>
      </w:r>
      <w:r>
        <w:rPr>
          <w:sz w:val="28"/>
          <w:szCs w:val="28"/>
        </w:rPr>
        <w:fldChar w:fldCharType="separate"/>
      </w:r>
      <w:r>
        <w:rPr>
          <w:sz w:val="28"/>
          <w:szCs w:val="28"/>
        </w:rPr>
        <w:t>34</w:t>
      </w:r>
      <w:r>
        <w:rPr>
          <w:sz w:val="28"/>
          <w:szCs w:val="28"/>
        </w:rPr>
        <w:fldChar w:fldCharType="end"/>
      </w:r>
      <w:r>
        <w:rPr>
          <w:rFonts w:hint="eastAsia"/>
          <w:sz w:val="28"/>
          <w:szCs w:val="28"/>
          <w:lang w:val="en-US" w:eastAsia="zh-CN"/>
        </w:rPr>
        <w:fldChar w:fldCharType="end"/>
      </w:r>
    </w:p>
    <w:p w14:paraId="126603C9">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_Toc12470 </w:instrText>
      </w:r>
      <w:r>
        <w:rPr>
          <w:rFonts w:hint="eastAsia"/>
          <w:sz w:val="28"/>
          <w:szCs w:val="28"/>
          <w:lang w:val="en-US" w:eastAsia="zh-CN"/>
        </w:rPr>
        <w:fldChar w:fldCharType="separate"/>
      </w:r>
      <w:r>
        <w:rPr>
          <w:rFonts w:hint="eastAsia" w:ascii="黑体" w:hAnsi="黑体" w:eastAsia="黑体" w:cs="黑体"/>
          <w:sz w:val="28"/>
          <w:szCs w:val="28"/>
          <w:lang w:val="en-US" w:eastAsia="zh-CN"/>
        </w:rPr>
        <w:t>3.2红色基因传承</w:t>
      </w:r>
      <w:r>
        <w:rPr>
          <w:sz w:val="28"/>
          <w:szCs w:val="28"/>
        </w:rPr>
        <w:tab/>
      </w:r>
      <w:r>
        <w:rPr>
          <w:sz w:val="28"/>
          <w:szCs w:val="28"/>
        </w:rPr>
        <w:fldChar w:fldCharType="begin"/>
      </w:r>
      <w:r>
        <w:rPr>
          <w:sz w:val="28"/>
          <w:szCs w:val="28"/>
        </w:rPr>
        <w:instrText xml:space="preserve"> PAGEREF _Toc12470 \h </w:instrText>
      </w:r>
      <w:r>
        <w:rPr>
          <w:sz w:val="28"/>
          <w:szCs w:val="28"/>
        </w:rPr>
        <w:fldChar w:fldCharType="separate"/>
      </w:r>
      <w:r>
        <w:rPr>
          <w:sz w:val="28"/>
          <w:szCs w:val="28"/>
        </w:rPr>
        <w:t>34</w:t>
      </w:r>
      <w:r>
        <w:rPr>
          <w:sz w:val="28"/>
          <w:szCs w:val="28"/>
        </w:rPr>
        <w:fldChar w:fldCharType="end"/>
      </w:r>
      <w:r>
        <w:rPr>
          <w:rFonts w:hint="eastAsia"/>
          <w:sz w:val="28"/>
          <w:szCs w:val="28"/>
          <w:lang w:val="en-US" w:eastAsia="zh-CN"/>
        </w:rPr>
        <w:fldChar w:fldCharType="end"/>
      </w:r>
    </w:p>
    <w:p w14:paraId="5178CF9C">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_Toc12724 </w:instrText>
      </w:r>
      <w:r>
        <w:rPr>
          <w:rFonts w:hint="eastAsia"/>
          <w:sz w:val="28"/>
          <w:szCs w:val="28"/>
          <w:lang w:val="en-US" w:eastAsia="zh-CN"/>
        </w:rPr>
        <w:fldChar w:fldCharType="separate"/>
      </w:r>
      <w:r>
        <w:rPr>
          <w:rFonts w:hint="eastAsia" w:ascii="黑体" w:hAnsi="黑体" w:eastAsia="黑体" w:cs="黑体"/>
          <w:sz w:val="28"/>
          <w:szCs w:val="28"/>
          <w:lang w:val="en-US" w:eastAsia="zh-CN"/>
        </w:rPr>
        <w:t>3.3中华优秀传统文化传承</w:t>
      </w:r>
      <w:r>
        <w:rPr>
          <w:sz w:val="28"/>
          <w:szCs w:val="28"/>
        </w:rPr>
        <w:tab/>
      </w:r>
      <w:r>
        <w:rPr>
          <w:sz w:val="28"/>
          <w:szCs w:val="28"/>
        </w:rPr>
        <w:fldChar w:fldCharType="begin"/>
      </w:r>
      <w:r>
        <w:rPr>
          <w:sz w:val="28"/>
          <w:szCs w:val="28"/>
        </w:rPr>
        <w:instrText xml:space="preserve"> PAGEREF _Toc12724 \h </w:instrText>
      </w:r>
      <w:r>
        <w:rPr>
          <w:sz w:val="28"/>
          <w:szCs w:val="28"/>
        </w:rPr>
        <w:fldChar w:fldCharType="separate"/>
      </w:r>
      <w:r>
        <w:rPr>
          <w:sz w:val="28"/>
          <w:szCs w:val="28"/>
        </w:rPr>
        <w:t>36</w:t>
      </w:r>
      <w:r>
        <w:rPr>
          <w:sz w:val="28"/>
          <w:szCs w:val="28"/>
        </w:rPr>
        <w:fldChar w:fldCharType="end"/>
      </w:r>
      <w:r>
        <w:rPr>
          <w:rFonts w:hint="eastAsia"/>
          <w:sz w:val="28"/>
          <w:szCs w:val="28"/>
          <w:lang w:val="en-US" w:eastAsia="zh-CN"/>
        </w:rPr>
        <w:fldChar w:fldCharType="end"/>
      </w:r>
    </w:p>
    <w:p w14:paraId="3CC1BD66">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_Toc29049 </w:instrText>
      </w:r>
      <w:r>
        <w:rPr>
          <w:rFonts w:hint="eastAsia"/>
          <w:sz w:val="28"/>
          <w:szCs w:val="28"/>
          <w:lang w:val="en-US" w:eastAsia="zh-CN"/>
        </w:rPr>
        <w:fldChar w:fldCharType="separate"/>
      </w:r>
      <w:r>
        <w:rPr>
          <w:rFonts w:hint="eastAsia" w:ascii="黑体" w:hAnsi="黑体" w:eastAsia="黑体" w:cs="黑体"/>
          <w:sz w:val="28"/>
          <w:szCs w:val="28"/>
          <w:lang w:val="en-US" w:eastAsia="zh-CN"/>
        </w:rPr>
        <w:t>3.4职业启蒙教育</w:t>
      </w:r>
      <w:r>
        <w:rPr>
          <w:sz w:val="28"/>
          <w:szCs w:val="28"/>
        </w:rPr>
        <w:tab/>
      </w:r>
      <w:r>
        <w:rPr>
          <w:sz w:val="28"/>
          <w:szCs w:val="28"/>
        </w:rPr>
        <w:fldChar w:fldCharType="begin"/>
      </w:r>
      <w:r>
        <w:rPr>
          <w:sz w:val="28"/>
          <w:szCs w:val="28"/>
        </w:rPr>
        <w:instrText xml:space="preserve"> PAGEREF _Toc29049 \h </w:instrText>
      </w:r>
      <w:r>
        <w:rPr>
          <w:sz w:val="28"/>
          <w:szCs w:val="28"/>
        </w:rPr>
        <w:fldChar w:fldCharType="separate"/>
      </w:r>
      <w:r>
        <w:rPr>
          <w:sz w:val="28"/>
          <w:szCs w:val="28"/>
        </w:rPr>
        <w:t>39</w:t>
      </w:r>
      <w:r>
        <w:rPr>
          <w:sz w:val="28"/>
          <w:szCs w:val="28"/>
        </w:rPr>
        <w:fldChar w:fldCharType="end"/>
      </w:r>
      <w:r>
        <w:rPr>
          <w:rFonts w:hint="eastAsia"/>
          <w:sz w:val="28"/>
          <w:szCs w:val="28"/>
          <w:lang w:val="en-US" w:eastAsia="zh-CN"/>
        </w:rPr>
        <w:fldChar w:fldCharType="end"/>
      </w:r>
    </w:p>
    <w:p w14:paraId="6F9D70A1">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_Toc18397 </w:instrText>
      </w:r>
      <w:r>
        <w:rPr>
          <w:rFonts w:hint="eastAsia"/>
          <w:sz w:val="28"/>
          <w:szCs w:val="28"/>
          <w:lang w:val="en-US" w:eastAsia="zh-CN"/>
        </w:rPr>
        <w:fldChar w:fldCharType="separate"/>
      </w:r>
      <w:r>
        <w:rPr>
          <w:rFonts w:hint="eastAsia" w:ascii="黑体" w:hAnsi="黑体" w:eastAsia="黑体" w:cs="黑体"/>
          <w:sz w:val="28"/>
          <w:szCs w:val="28"/>
          <w:lang w:val="en-US" w:eastAsia="zh-CN"/>
        </w:rPr>
        <w:t>4.产教融合</w:t>
      </w:r>
      <w:r>
        <w:rPr>
          <w:sz w:val="28"/>
          <w:szCs w:val="28"/>
        </w:rPr>
        <w:tab/>
      </w:r>
      <w:r>
        <w:rPr>
          <w:sz w:val="28"/>
          <w:szCs w:val="28"/>
        </w:rPr>
        <w:fldChar w:fldCharType="begin"/>
      </w:r>
      <w:r>
        <w:rPr>
          <w:sz w:val="28"/>
          <w:szCs w:val="28"/>
        </w:rPr>
        <w:instrText xml:space="preserve"> PAGEREF _Toc18397 \h </w:instrText>
      </w:r>
      <w:r>
        <w:rPr>
          <w:sz w:val="28"/>
          <w:szCs w:val="28"/>
        </w:rPr>
        <w:fldChar w:fldCharType="separate"/>
      </w:r>
      <w:r>
        <w:rPr>
          <w:sz w:val="28"/>
          <w:szCs w:val="28"/>
        </w:rPr>
        <w:t>39</w:t>
      </w:r>
      <w:r>
        <w:rPr>
          <w:sz w:val="28"/>
          <w:szCs w:val="28"/>
        </w:rPr>
        <w:fldChar w:fldCharType="end"/>
      </w:r>
      <w:r>
        <w:rPr>
          <w:rFonts w:hint="eastAsia"/>
          <w:sz w:val="28"/>
          <w:szCs w:val="28"/>
          <w:lang w:val="en-US" w:eastAsia="zh-CN"/>
        </w:rPr>
        <w:fldChar w:fldCharType="end"/>
      </w:r>
    </w:p>
    <w:p w14:paraId="0AEB71CE">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_Toc10695 </w:instrText>
      </w:r>
      <w:r>
        <w:rPr>
          <w:rFonts w:hint="eastAsia"/>
          <w:sz w:val="28"/>
          <w:szCs w:val="28"/>
          <w:lang w:val="en-US" w:eastAsia="zh-CN"/>
        </w:rPr>
        <w:fldChar w:fldCharType="separate"/>
      </w:r>
      <w:r>
        <w:rPr>
          <w:rFonts w:hint="eastAsia" w:ascii="黑体" w:hAnsi="黑体" w:eastAsia="黑体" w:cs="黑体"/>
          <w:sz w:val="28"/>
          <w:szCs w:val="28"/>
          <w:lang w:val="en-US" w:eastAsia="zh-CN"/>
        </w:rPr>
        <w:t>4.1校企合作双元育人</w:t>
      </w:r>
      <w:r>
        <w:rPr>
          <w:sz w:val="28"/>
          <w:szCs w:val="28"/>
        </w:rPr>
        <w:tab/>
      </w:r>
      <w:r>
        <w:rPr>
          <w:sz w:val="28"/>
          <w:szCs w:val="28"/>
        </w:rPr>
        <w:fldChar w:fldCharType="begin"/>
      </w:r>
      <w:r>
        <w:rPr>
          <w:sz w:val="28"/>
          <w:szCs w:val="28"/>
        </w:rPr>
        <w:instrText xml:space="preserve"> PAGEREF _Toc10695 \h </w:instrText>
      </w:r>
      <w:r>
        <w:rPr>
          <w:sz w:val="28"/>
          <w:szCs w:val="28"/>
        </w:rPr>
        <w:fldChar w:fldCharType="separate"/>
      </w:r>
      <w:r>
        <w:rPr>
          <w:sz w:val="28"/>
          <w:szCs w:val="28"/>
        </w:rPr>
        <w:t>39</w:t>
      </w:r>
      <w:r>
        <w:rPr>
          <w:sz w:val="28"/>
          <w:szCs w:val="28"/>
        </w:rPr>
        <w:fldChar w:fldCharType="end"/>
      </w:r>
      <w:r>
        <w:rPr>
          <w:rFonts w:hint="eastAsia"/>
          <w:sz w:val="28"/>
          <w:szCs w:val="28"/>
          <w:lang w:val="en-US" w:eastAsia="zh-CN"/>
        </w:rPr>
        <w:fldChar w:fldCharType="end"/>
      </w:r>
    </w:p>
    <w:p w14:paraId="216ED612">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_Toc8764 </w:instrText>
      </w:r>
      <w:r>
        <w:rPr>
          <w:rFonts w:hint="eastAsia"/>
          <w:sz w:val="28"/>
          <w:szCs w:val="28"/>
          <w:lang w:val="en-US" w:eastAsia="zh-CN"/>
        </w:rPr>
        <w:fldChar w:fldCharType="separate"/>
      </w:r>
      <w:r>
        <w:rPr>
          <w:rFonts w:hint="eastAsia" w:ascii="黑体" w:hAnsi="黑体" w:eastAsia="黑体" w:cs="黑体"/>
          <w:sz w:val="28"/>
          <w:szCs w:val="28"/>
          <w:lang w:val="en-US" w:eastAsia="zh-CN"/>
        </w:rPr>
        <w:t>4.2校企共建资源</w:t>
      </w:r>
      <w:r>
        <w:rPr>
          <w:sz w:val="28"/>
          <w:szCs w:val="28"/>
        </w:rPr>
        <w:tab/>
      </w:r>
      <w:r>
        <w:rPr>
          <w:sz w:val="28"/>
          <w:szCs w:val="28"/>
        </w:rPr>
        <w:fldChar w:fldCharType="begin"/>
      </w:r>
      <w:r>
        <w:rPr>
          <w:sz w:val="28"/>
          <w:szCs w:val="28"/>
        </w:rPr>
        <w:instrText xml:space="preserve"> PAGEREF _Toc8764 \h </w:instrText>
      </w:r>
      <w:r>
        <w:rPr>
          <w:sz w:val="28"/>
          <w:szCs w:val="28"/>
        </w:rPr>
        <w:fldChar w:fldCharType="separate"/>
      </w:r>
      <w:r>
        <w:rPr>
          <w:sz w:val="28"/>
          <w:szCs w:val="28"/>
        </w:rPr>
        <w:t>40</w:t>
      </w:r>
      <w:r>
        <w:rPr>
          <w:sz w:val="28"/>
          <w:szCs w:val="28"/>
        </w:rPr>
        <w:fldChar w:fldCharType="end"/>
      </w:r>
      <w:r>
        <w:rPr>
          <w:rFonts w:hint="eastAsia"/>
          <w:sz w:val="28"/>
          <w:szCs w:val="28"/>
          <w:lang w:val="en-US" w:eastAsia="zh-CN"/>
        </w:rPr>
        <w:fldChar w:fldCharType="end"/>
      </w:r>
    </w:p>
    <w:p w14:paraId="73D797CE">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_Toc13814 </w:instrText>
      </w:r>
      <w:r>
        <w:rPr>
          <w:rFonts w:hint="eastAsia"/>
          <w:sz w:val="28"/>
          <w:szCs w:val="28"/>
          <w:lang w:val="en-US" w:eastAsia="zh-CN"/>
        </w:rPr>
        <w:fldChar w:fldCharType="separate"/>
      </w:r>
      <w:r>
        <w:rPr>
          <w:rFonts w:hint="eastAsia" w:ascii="黑体" w:hAnsi="黑体" w:eastAsia="黑体" w:cs="黑体"/>
          <w:sz w:val="28"/>
          <w:szCs w:val="28"/>
          <w:lang w:val="en-US" w:eastAsia="zh-CN"/>
        </w:rPr>
        <w:t>4.3校企共建师资队伍</w:t>
      </w:r>
      <w:r>
        <w:rPr>
          <w:sz w:val="28"/>
          <w:szCs w:val="28"/>
        </w:rPr>
        <w:tab/>
      </w:r>
      <w:r>
        <w:rPr>
          <w:sz w:val="28"/>
          <w:szCs w:val="28"/>
        </w:rPr>
        <w:fldChar w:fldCharType="begin"/>
      </w:r>
      <w:r>
        <w:rPr>
          <w:sz w:val="28"/>
          <w:szCs w:val="28"/>
        </w:rPr>
        <w:instrText xml:space="preserve"> PAGEREF _Toc13814 \h </w:instrText>
      </w:r>
      <w:r>
        <w:rPr>
          <w:sz w:val="28"/>
          <w:szCs w:val="28"/>
        </w:rPr>
        <w:fldChar w:fldCharType="separate"/>
      </w:r>
      <w:r>
        <w:rPr>
          <w:sz w:val="28"/>
          <w:szCs w:val="28"/>
        </w:rPr>
        <w:t>41</w:t>
      </w:r>
      <w:r>
        <w:rPr>
          <w:sz w:val="28"/>
          <w:szCs w:val="28"/>
        </w:rPr>
        <w:fldChar w:fldCharType="end"/>
      </w:r>
      <w:r>
        <w:rPr>
          <w:rFonts w:hint="eastAsia"/>
          <w:sz w:val="28"/>
          <w:szCs w:val="28"/>
          <w:lang w:val="en-US" w:eastAsia="zh-CN"/>
        </w:rPr>
        <w:fldChar w:fldCharType="end"/>
      </w:r>
    </w:p>
    <w:p w14:paraId="76E05C87">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_Toc15467 </w:instrText>
      </w:r>
      <w:r>
        <w:rPr>
          <w:rFonts w:hint="eastAsia"/>
          <w:sz w:val="28"/>
          <w:szCs w:val="28"/>
          <w:lang w:val="en-US" w:eastAsia="zh-CN"/>
        </w:rPr>
        <w:fldChar w:fldCharType="separate"/>
      </w:r>
      <w:r>
        <w:rPr>
          <w:rFonts w:hint="eastAsia" w:ascii="黑体" w:hAnsi="黑体" w:eastAsia="黑体" w:cs="黑体"/>
          <w:sz w:val="28"/>
          <w:szCs w:val="28"/>
          <w:lang w:val="en-US" w:eastAsia="zh-CN"/>
        </w:rPr>
        <w:t>4.4产教融合发展</w:t>
      </w:r>
      <w:r>
        <w:rPr>
          <w:sz w:val="28"/>
          <w:szCs w:val="28"/>
        </w:rPr>
        <w:tab/>
      </w:r>
      <w:r>
        <w:rPr>
          <w:sz w:val="28"/>
          <w:szCs w:val="28"/>
        </w:rPr>
        <w:fldChar w:fldCharType="begin"/>
      </w:r>
      <w:r>
        <w:rPr>
          <w:sz w:val="28"/>
          <w:szCs w:val="28"/>
        </w:rPr>
        <w:instrText xml:space="preserve"> PAGEREF _Toc15467 \h </w:instrText>
      </w:r>
      <w:r>
        <w:rPr>
          <w:sz w:val="28"/>
          <w:szCs w:val="28"/>
        </w:rPr>
        <w:fldChar w:fldCharType="separate"/>
      </w:r>
      <w:r>
        <w:rPr>
          <w:sz w:val="28"/>
          <w:szCs w:val="28"/>
        </w:rPr>
        <w:t>42</w:t>
      </w:r>
      <w:r>
        <w:rPr>
          <w:sz w:val="28"/>
          <w:szCs w:val="28"/>
        </w:rPr>
        <w:fldChar w:fldCharType="end"/>
      </w:r>
      <w:r>
        <w:rPr>
          <w:rFonts w:hint="eastAsia"/>
          <w:sz w:val="28"/>
          <w:szCs w:val="28"/>
          <w:lang w:val="en-US" w:eastAsia="zh-CN"/>
        </w:rPr>
        <w:fldChar w:fldCharType="end"/>
      </w:r>
    </w:p>
    <w:p w14:paraId="13E38B71">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_Toc31057 </w:instrText>
      </w:r>
      <w:r>
        <w:rPr>
          <w:rFonts w:hint="eastAsia"/>
          <w:sz w:val="28"/>
          <w:szCs w:val="28"/>
          <w:lang w:val="en-US" w:eastAsia="zh-CN"/>
        </w:rPr>
        <w:fldChar w:fldCharType="separate"/>
      </w:r>
      <w:r>
        <w:rPr>
          <w:rFonts w:hint="eastAsia" w:ascii="黑体" w:hAnsi="黑体" w:eastAsia="黑体" w:cs="黑体"/>
          <w:sz w:val="28"/>
          <w:szCs w:val="28"/>
          <w:lang w:val="en-US" w:eastAsia="zh-CN"/>
        </w:rPr>
        <w:t>5.服务贡献</w:t>
      </w:r>
      <w:r>
        <w:rPr>
          <w:sz w:val="28"/>
          <w:szCs w:val="28"/>
        </w:rPr>
        <w:tab/>
      </w:r>
      <w:r>
        <w:rPr>
          <w:sz w:val="28"/>
          <w:szCs w:val="28"/>
        </w:rPr>
        <w:fldChar w:fldCharType="begin"/>
      </w:r>
      <w:r>
        <w:rPr>
          <w:sz w:val="28"/>
          <w:szCs w:val="28"/>
        </w:rPr>
        <w:instrText xml:space="preserve"> PAGEREF _Toc31057 \h </w:instrText>
      </w:r>
      <w:r>
        <w:rPr>
          <w:sz w:val="28"/>
          <w:szCs w:val="28"/>
        </w:rPr>
        <w:fldChar w:fldCharType="separate"/>
      </w:r>
      <w:r>
        <w:rPr>
          <w:sz w:val="28"/>
          <w:szCs w:val="28"/>
        </w:rPr>
        <w:t>43</w:t>
      </w:r>
      <w:r>
        <w:rPr>
          <w:sz w:val="28"/>
          <w:szCs w:val="28"/>
        </w:rPr>
        <w:fldChar w:fldCharType="end"/>
      </w:r>
      <w:r>
        <w:rPr>
          <w:rFonts w:hint="eastAsia"/>
          <w:sz w:val="28"/>
          <w:szCs w:val="28"/>
          <w:lang w:val="en-US" w:eastAsia="zh-CN"/>
        </w:rPr>
        <w:fldChar w:fldCharType="end"/>
      </w:r>
    </w:p>
    <w:p w14:paraId="54F5336D">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_Toc21056 </w:instrText>
      </w:r>
      <w:r>
        <w:rPr>
          <w:rFonts w:hint="eastAsia"/>
          <w:sz w:val="28"/>
          <w:szCs w:val="28"/>
          <w:lang w:val="en-US" w:eastAsia="zh-CN"/>
        </w:rPr>
        <w:fldChar w:fldCharType="separate"/>
      </w:r>
      <w:r>
        <w:rPr>
          <w:rFonts w:hint="eastAsia" w:ascii="黑体" w:hAnsi="黑体" w:eastAsia="黑体" w:cs="黑体"/>
          <w:sz w:val="28"/>
          <w:szCs w:val="28"/>
          <w:lang w:val="en-US" w:eastAsia="zh-CN"/>
        </w:rPr>
        <w:t>5.1.服务行业企业</w:t>
      </w:r>
      <w:r>
        <w:rPr>
          <w:sz w:val="28"/>
          <w:szCs w:val="28"/>
        </w:rPr>
        <w:tab/>
      </w:r>
      <w:r>
        <w:rPr>
          <w:sz w:val="28"/>
          <w:szCs w:val="28"/>
        </w:rPr>
        <w:fldChar w:fldCharType="begin"/>
      </w:r>
      <w:r>
        <w:rPr>
          <w:sz w:val="28"/>
          <w:szCs w:val="28"/>
        </w:rPr>
        <w:instrText xml:space="preserve"> PAGEREF _Toc21056 \h </w:instrText>
      </w:r>
      <w:r>
        <w:rPr>
          <w:sz w:val="28"/>
          <w:szCs w:val="28"/>
        </w:rPr>
        <w:fldChar w:fldCharType="separate"/>
      </w:r>
      <w:r>
        <w:rPr>
          <w:sz w:val="28"/>
          <w:szCs w:val="28"/>
        </w:rPr>
        <w:t>43</w:t>
      </w:r>
      <w:r>
        <w:rPr>
          <w:sz w:val="28"/>
          <w:szCs w:val="28"/>
        </w:rPr>
        <w:fldChar w:fldCharType="end"/>
      </w:r>
      <w:r>
        <w:rPr>
          <w:rFonts w:hint="eastAsia"/>
          <w:sz w:val="28"/>
          <w:szCs w:val="28"/>
          <w:lang w:val="en-US" w:eastAsia="zh-CN"/>
        </w:rPr>
        <w:fldChar w:fldCharType="end"/>
      </w:r>
    </w:p>
    <w:p w14:paraId="3C8B4F86">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_Toc22339 </w:instrText>
      </w:r>
      <w:r>
        <w:rPr>
          <w:rFonts w:hint="eastAsia"/>
          <w:sz w:val="28"/>
          <w:szCs w:val="28"/>
          <w:lang w:val="en-US" w:eastAsia="zh-CN"/>
        </w:rPr>
        <w:fldChar w:fldCharType="separate"/>
      </w:r>
      <w:r>
        <w:rPr>
          <w:rFonts w:hint="eastAsia" w:ascii="黑体" w:hAnsi="黑体" w:eastAsia="黑体" w:cs="黑体"/>
          <w:sz w:val="28"/>
          <w:szCs w:val="28"/>
          <w:lang w:val="en-US" w:eastAsia="zh-CN"/>
        </w:rPr>
        <w:t>5.2服务地方发展</w:t>
      </w:r>
      <w:r>
        <w:rPr>
          <w:sz w:val="28"/>
          <w:szCs w:val="28"/>
        </w:rPr>
        <w:tab/>
      </w:r>
      <w:r>
        <w:rPr>
          <w:sz w:val="28"/>
          <w:szCs w:val="28"/>
        </w:rPr>
        <w:fldChar w:fldCharType="begin"/>
      </w:r>
      <w:r>
        <w:rPr>
          <w:sz w:val="28"/>
          <w:szCs w:val="28"/>
        </w:rPr>
        <w:instrText xml:space="preserve"> PAGEREF _Toc22339 \h </w:instrText>
      </w:r>
      <w:r>
        <w:rPr>
          <w:sz w:val="28"/>
          <w:szCs w:val="28"/>
        </w:rPr>
        <w:fldChar w:fldCharType="separate"/>
      </w:r>
      <w:r>
        <w:rPr>
          <w:sz w:val="28"/>
          <w:szCs w:val="28"/>
        </w:rPr>
        <w:t>44</w:t>
      </w:r>
      <w:r>
        <w:rPr>
          <w:sz w:val="28"/>
          <w:szCs w:val="28"/>
        </w:rPr>
        <w:fldChar w:fldCharType="end"/>
      </w:r>
      <w:r>
        <w:rPr>
          <w:rFonts w:hint="eastAsia"/>
          <w:sz w:val="28"/>
          <w:szCs w:val="28"/>
          <w:lang w:val="en-US" w:eastAsia="zh-CN"/>
        </w:rPr>
        <w:fldChar w:fldCharType="end"/>
      </w:r>
    </w:p>
    <w:p w14:paraId="727785A7">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_Toc7352 </w:instrText>
      </w:r>
      <w:r>
        <w:rPr>
          <w:rFonts w:hint="eastAsia"/>
          <w:sz w:val="28"/>
          <w:szCs w:val="28"/>
          <w:lang w:val="en-US" w:eastAsia="zh-CN"/>
        </w:rPr>
        <w:fldChar w:fldCharType="separate"/>
      </w:r>
      <w:r>
        <w:rPr>
          <w:rFonts w:hint="eastAsia" w:ascii="黑体" w:hAnsi="黑体" w:eastAsia="黑体" w:cs="黑体"/>
          <w:sz w:val="28"/>
          <w:szCs w:val="28"/>
          <w:lang w:val="en-US" w:eastAsia="zh-CN"/>
        </w:rPr>
        <w:t>5.3服务乡村振兴</w:t>
      </w:r>
      <w:r>
        <w:rPr>
          <w:sz w:val="28"/>
          <w:szCs w:val="28"/>
        </w:rPr>
        <w:tab/>
      </w:r>
      <w:r>
        <w:rPr>
          <w:sz w:val="28"/>
          <w:szCs w:val="28"/>
        </w:rPr>
        <w:fldChar w:fldCharType="begin"/>
      </w:r>
      <w:r>
        <w:rPr>
          <w:sz w:val="28"/>
          <w:szCs w:val="28"/>
        </w:rPr>
        <w:instrText xml:space="preserve"> PAGEREF _Toc7352 \h </w:instrText>
      </w:r>
      <w:r>
        <w:rPr>
          <w:sz w:val="28"/>
          <w:szCs w:val="28"/>
        </w:rPr>
        <w:fldChar w:fldCharType="separate"/>
      </w:r>
      <w:r>
        <w:rPr>
          <w:sz w:val="28"/>
          <w:szCs w:val="28"/>
        </w:rPr>
        <w:t>44</w:t>
      </w:r>
      <w:r>
        <w:rPr>
          <w:sz w:val="28"/>
          <w:szCs w:val="28"/>
        </w:rPr>
        <w:fldChar w:fldCharType="end"/>
      </w:r>
      <w:r>
        <w:rPr>
          <w:rFonts w:hint="eastAsia"/>
          <w:sz w:val="28"/>
          <w:szCs w:val="28"/>
          <w:lang w:val="en-US" w:eastAsia="zh-CN"/>
        </w:rPr>
        <w:fldChar w:fldCharType="end"/>
      </w:r>
    </w:p>
    <w:p w14:paraId="35854A96">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_Toc780 </w:instrText>
      </w:r>
      <w:r>
        <w:rPr>
          <w:rFonts w:hint="eastAsia"/>
          <w:sz w:val="28"/>
          <w:szCs w:val="28"/>
          <w:lang w:val="en-US" w:eastAsia="zh-CN"/>
        </w:rPr>
        <w:fldChar w:fldCharType="separate"/>
      </w:r>
      <w:r>
        <w:rPr>
          <w:rFonts w:hint="eastAsia" w:ascii="黑体" w:hAnsi="黑体" w:eastAsia="黑体" w:cs="黑体"/>
          <w:sz w:val="28"/>
          <w:szCs w:val="28"/>
          <w:lang w:val="en-US" w:eastAsia="zh-CN"/>
        </w:rPr>
        <w:t>5.4具有地域特色的服务</w:t>
      </w:r>
      <w:r>
        <w:rPr>
          <w:sz w:val="28"/>
          <w:szCs w:val="28"/>
        </w:rPr>
        <w:tab/>
      </w:r>
      <w:r>
        <w:rPr>
          <w:sz w:val="28"/>
          <w:szCs w:val="28"/>
        </w:rPr>
        <w:fldChar w:fldCharType="begin"/>
      </w:r>
      <w:r>
        <w:rPr>
          <w:sz w:val="28"/>
          <w:szCs w:val="28"/>
        </w:rPr>
        <w:instrText xml:space="preserve"> PAGEREF _Toc780 \h </w:instrText>
      </w:r>
      <w:r>
        <w:rPr>
          <w:sz w:val="28"/>
          <w:szCs w:val="28"/>
        </w:rPr>
        <w:fldChar w:fldCharType="separate"/>
      </w:r>
      <w:r>
        <w:rPr>
          <w:sz w:val="28"/>
          <w:szCs w:val="28"/>
        </w:rPr>
        <w:t>45</w:t>
      </w:r>
      <w:r>
        <w:rPr>
          <w:sz w:val="28"/>
          <w:szCs w:val="28"/>
        </w:rPr>
        <w:fldChar w:fldCharType="end"/>
      </w:r>
      <w:r>
        <w:rPr>
          <w:rFonts w:hint="eastAsia"/>
          <w:sz w:val="28"/>
          <w:szCs w:val="28"/>
          <w:lang w:val="en-US" w:eastAsia="zh-CN"/>
        </w:rPr>
        <w:fldChar w:fldCharType="end"/>
      </w:r>
    </w:p>
    <w:p w14:paraId="00B8C571">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_Toc20328 </w:instrText>
      </w:r>
      <w:r>
        <w:rPr>
          <w:rFonts w:hint="eastAsia"/>
          <w:sz w:val="28"/>
          <w:szCs w:val="28"/>
          <w:lang w:val="en-US" w:eastAsia="zh-CN"/>
        </w:rPr>
        <w:fldChar w:fldCharType="separate"/>
      </w:r>
      <w:r>
        <w:rPr>
          <w:rFonts w:hint="eastAsia" w:ascii="黑体" w:hAnsi="黑体" w:eastAsia="黑体" w:cs="黑体"/>
          <w:sz w:val="28"/>
          <w:szCs w:val="28"/>
          <w:lang w:val="en-US" w:eastAsia="zh-CN"/>
        </w:rPr>
        <w:t>5.5开展非学历培训</w:t>
      </w:r>
      <w:r>
        <w:rPr>
          <w:sz w:val="28"/>
          <w:szCs w:val="28"/>
        </w:rPr>
        <w:tab/>
      </w:r>
      <w:r>
        <w:rPr>
          <w:sz w:val="28"/>
          <w:szCs w:val="28"/>
        </w:rPr>
        <w:fldChar w:fldCharType="begin"/>
      </w:r>
      <w:r>
        <w:rPr>
          <w:sz w:val="28"/>
          <w:szCs w:val="28"/>
        </w:rPr>
        <w:instrText xml:space="preserve"> PAGEREF _Toc20328 \h </w:instrText>
      </w:r>
      <w:r>
        <w:rPr>
          <w:sz w:val="28"/>
          <w:szCs w:val="28"/>
        </w:rPr>
        <w:fldChar w:fldCharType="separate"/>
      </w:r>
      <w:r>
        <w:rPr>
          <w:sz w:val="28"/>
          <w:szCs w:val="28"/>
        </w:rPr>
        <w:t>45</w:t>
      </w:r>
      <w:r>
        <w:rPr>
          <w:sz w:val="28"/>
          <w:szCs w:val="28"/>
        </w:rPr>
        <w:fldChar w:fldCharType="end"/>
      </w:r>
      <w:r>
        <w:rPr>
          <w:rFonts w:hint="eastAsia"/>
          <w:sz w:val="28"/>
          <w:szCs w:val="28"/>
          <w:lang w:val="en-US" w:eastAsia="zh-CN"/>
        </w:rPr>
        <w:fldChar w:fldCharType="end"/>
      </w:r>
    </w:p>
    <w:p w14:paraId="26096AEB">
      <w:pPr>
        <w:pStyle w:val="14"/>
        <w:tabs>
          <w:tab w:val="right" w:leader="dot" w:pos="8306"/>
        </w:tabs>
        <w:rPr>
          <w:rFonts w:hint="default"/>
          <w:sz w:val="28"/>
          <w:szCs w:val="28"/>
          <w:lang w:val="en-US"/>
        </w:rPr>
      </w:pPr>
      <w:r>
        <w:rPr>
          <w:rFonts w:hint="eastAsia"/>
          <w:sz w:val="28"/>
          <w:szCs w:val="28"/>
          <w:lang w:val="en-US" w:eastAsia="zh-CN"/>
        </w:rPr>
        <w:fldChar w:fldCharType="begin"/>
      </w:r>
      <w:r>
        <w:rPr>
          <w:rFonts w:hint="eastAsia"/>
          <w:sz w:val="28"/>
          <w:szCs w:val="28"/>
          <w:lang w:val="en-US" w:eastAsia="zh-CN"/>
        </w:rPr>
        <w:instrText xml:space="preserve"> HYPERLINK \l _Toc16889 </w:instrText>
      </w:r>
      <w:r>
        <w:rPr>
          <w:rFonts w:hint="eastAsia"/>
          <w:sz w:val="28"/>
          <w:szCs w:val="28"/>
          <w:lang w:val="en-US" w:eastAsia="zh-CN"/>
        </w:rPr>
        <w:fldChar w:fldCharType="separate"/>
      </w:r>
      <w:r>
        <w:rPr>
          <w:rFonts w:hint="eastAsia" w:ascii="黑体" w:hAnsi="黑体" w:eastAsia="黑体" w:cs="黑体"/>
          <w:sz w:val="28"/>
          <w:szCs w:val="28"/>
          <w:lang w:val="en-US" w:eastAsia="zh-CN"/>
        </w:rPr>
        <w:t>6.发展保障</w:t>
      </w:r>
      <w:r>
        <w:rPr>
          <w:sz w:val="28"/>
          <w:szCs w:val="28"/>
        </w:rPr>
        <w:tab/>
      </w:r>
      <w:r>
        <w:rPr>
          <w:rFonts w:hint="eastAsia"/>
          <w:sz w:val="28"/>
          <w:szCs w:val="28"/>
          <w:lang w:val="en-US" w:eastAsia="zh-CN"/>
        </w:rPr>
        <w:t>4</w:t>
      </w:r>
      <w:r>
        <w:rPr>
          <w:rFonts w:hint="eastAsia"/>
          <w:sz w:val="28"/>
          <w:szCs w:val="28"/>
          <w:lang w:val="en-US" w:eastAsia="zh-CN"/>
        </w:rPr>
        <w:fldChar w:fldCharType="end"/>
      </w:r>
      <w:r>
        <w:rPr>
          <w:rFonts w:hint="eastAsia"/>
          <w:sz w:val="28"/>
          <w:szCs w:val="28"/>
          <w:lang w:val="en-US" w:eastAsia="zh-CN"/>
        </w:rPr>
        <w:t>6</w:t>
      </w:r>
    </w:p>
    <w:p w14:paraId="56FF3114">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_Toc8780 </w:instrText>
      </w:r>
      <w:r>
        <w:rPr>
          <w:rFonts w:hint="eastAsia"/>
          <w:sz w:val="28"/>
          <w:szCs w:val="28"/>
          <w:lang w:val="en-US" w:eastAsia="zh-CN"/>
        </w:rPr>
        <w:fldChar w:fldCharType="separate"/>
      </w:r>
      <w:r>
        <w:rPr>
          <w:rFonts w:hint="eastAsia" w:ascii="黑体" w:hAnsi="黑体" w:eastAsia="黑体" w:cs="黑体"/>
          <w:sz w:val="28"/>
          <w:szCs w:val="28"/>
          <w:lang w:val="en-US" w:eastAsia="zh-CN"/>
        </w:rPr>
        <w:t>6.1党建引领</w:t>
      </w:r>
      <w:r>
        <w:rPr>
          <w:sz w:val="28"/>
          <w:szCs w:val="28"/>
        </w:rPr>
        <w:tab/>
      </w:r>
      <w:r>
        <w:rPr>
          <w:sz w:val="28"/>
          <w:szCs w:val="28"/>
        </w:rPr>
        <w:fldChar w:fldCharType="begin"/>
      </w:r>
      <w:r>
        <w:rPr>
          <w:sz w:val="28"/>
          <w:szCs w:val="28"/>
        </w:rPr>
        <w:instrText xml:space="preserve"> PAGEREF _Toc8780 \h </w:instrText>
      </w:r>
      <w:r>
        <w:rPr>
          <w:sz w:val="28"/>
          <w:szCs w:val="28"/>
        </w:rPr>
        <w:fldChar w:fldCharType="separate"/>
      </w:r>
      <w:r>
        <w:rPr>
          <w:sz w:val="28"/>
          <w:szCs w:val="28"/>
        </w:rPr>
        <w:t>46</w:t>
      </w:r>
      <w:r>
        <w:rPr>
          <w:sz w:val="28"/>
          <w:szCs w:val="28"/>
        </w:rPr>
        <w:fldChar w:fldCharType="end"/>
      </w:r>
      <w:r>
        <w:rPr>
          <w:rFonts w:hint="eastAsia"/>
          <w:sz w:val="28"/>
          <w:szCs w:val="28"/>
          <w:lang w:val="en-US" w:eastAsia="zh-CN"/>
        </w:rPr>
        <w:fldChar w:fldCharType="end"/>
      </w:r>
    </w:p>
    <w:p w14:paraId="582360EA">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_Toc23662 </w:instrText>
      </w:r>
      <w:r>
        <w:rPr>
          <w:rFonts w:hint="eastAsia"/>
          <w:sz w:val="28"/>
          <w:szCs w:val="28"/>
          <w:lang w:val="en-US" w:eastAsia="zh-CN"/>
        </w:rPr>
        <w:fldChar w:fldCharType="separate"/>
      </w:r>
      <w:r>
        <w:rPr>
          <w:rFonts w:hint="eastAsia" w:ascii="黑体" w:hAnsi="黑体" w:eastAsia="黑体" w:cs="黑体"/>
          <w:sz w:val="28"/>
          <w:szCs w:val="28"/>
          <w:lang w:val="en-US" w:eastAsia="zh-CN"/>
        </w:rPr>
        <w:t>6.2政策落实</w:t>
      </w:r>
      <w:r>
        <w:rPr>
          <w:sz w:val="28"/>
          <w:szCs w:val="28"/>
        </w:rPr>
        <w:tab/>
      </w:r>
      <w:r>
        <w:rPr>
          <w:sz w:val="28"/>
          <w:szCs w:val="28"/>
        </w:rPr>
        <w:fldChar w:fldCharType="begin"/>
      </w:r>
      <w:r>
        <w:rPr>
          <w:sz w:val="28"/>
          <w:szCs w:val="28"/>
        </w:rPr>
        <w:instrText xml:space="preserve"> PAGEREF _Toc23662 \h </w:instrText>
      </w:r>
      <w:r>
        <w:rPr>
          <w:sz w:val="28"/>
          <w:szCs w:val="28"/>
        </w:rPr>
        <w:fldChar w:fldCharType="separate"/>
      </w:r>
      <w:r>
        <w:rPr>
          <w:sz w:val="28"/>
          <w:szCs w:val="28"/>
        </w:rPr>
        <w:t>47</w:t>
      </w:r>
      <w:r>
        <w:rPr>
          <w:sz w:val="28"/>
          <w:szCs w:val="28"/>
        </w:rPr>
        <w:fldChar w:fldCharType="end"/>
      </w:r>
      <w:r>
        <w:rPr>
          <w:rFonts w:hint="eastAsia"/>
          <w:sz w:val="28"/>
          <w:szCs w:val="28"/>
          <w:lang w:val="en-US" w:eastAsia="zh-CN"/>
        </w:rPr>
        <w:fldChar w:fldCharType="end"/>
      </w:r>
    </w:p>
    <w:p w14:paraId="6C86D240">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_Toc21287 </w:instrText>
      </w:r>
      <w:r>
        <w:rPr>
          <w:rFonts w:hint="eastAsia"/>
          <w:sz w:val="28"/>
          <w:szCs w:val="28"/>
          <w:lang w:val="en-US" w:eastAsia="zh-CN"/>
        </w:rPr>
        <w:fldChar w:fldCharType="separate"/>
      </w:r>
      <w:r>
        <w:rPr>
          <w:rFonts w:hint="eastAsia" w:ascii="黑体" w:hAnsi="黑体" w:eastAsia="黑体" w:cs="黑体"/>
          <w:sz w:val="28"/>
          <w:szCs w:val="28"/>
          <w:lang w:val="en-US" w:eastAsia="zh-CN"/>
        </w:rPr>
        <w:t>6.3学校治理</w:t>
      </w:r>
      <w:r>
        <w:rPr>
          <w:sz w:val="28"/>
          <w:szCs w:val="28"/>
        </w:rPr>
        <w:tab/>
      </w:r>
      <w:r>
        <w:rPr>
          <w:sz w:val="28"/>
          <w:szCs w:val="28"/>
        </w:rPr>
        <w:fldChar w:fldCharType="begin"/>
      </w:r>
      <w:r>
        <w:rPr>
          <w:sz w:val="28"/>
          <w:szCs w:val="28"/>
        </w:rPr>
        <w:instrText xml:space="preserve"> PAGEREF _Toc21287 \h </w:instrText>
      </w:r>
      <w:r>
        <w:rPr>
          <w:sz w:val="28"/>
          <w:szCs w:val="28"/>
        </w:rPr>
        <w:fldChar w:fldCharType="separate"/>
      </w:r>
      <w:r>
        <w:rPr>
          <w:sz w:val="28"/>
          <w:szCs w:val="28"/>
        </w:rPr>
        <w:t>48</w:t>
      </w:r>
      <w:r>
        <w:rPr>
          <w:sz w:val="28"/>
          <w:szCs w:val="28"/>
        </w:rPr>
        <w:fldChar w:fldCharType="end"/>
      </w:r>
      <w:r>
        <w:rPr>
          <w:rFonts w:hint="eastAsia"/>
          <w:sz w:val="28"/>
          <w:szCs w:val="28"/>
          <w:lang w:val="en-US" w:eastAsia="zh-CN"/>
        </w:rPr>
        <w:fldChar w:fldCharType="end"/>
      </w:r>
    </w:p>
    <w:p w14:paraId="490D8326">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_Toc7245 </w:instrText>
      </w:r>
      <w:r>
        <w:rPr>
          <w:rFonts w:hint="eastAsia"/>
          <w:sz w:val="28"/>
          <w:szCs w:val="28"/>
          <w:lang w:val="en-US" w:eastAsia="zh-CN"/>
        </w:rPr>
        <w:fldChar w:fldCharType="separate"/>
      </w:r>
      <w:r>
        <w:rPr>
          <w:rFonts w:hint="eastAsia" w:ascii="黑体" w:hAnsi="黑体" w:eastAsia="黑体" w:cs="黑体"/>
          <w:sz w:val="28"/>
          <w:szCs w:val="28"/>
          <w:lang w:val="en-US" w:eastAsia="zh-CN"/>
        </w:rPr>
        <w:t>6.4质量保证体系建设</w:t>
      </w:r>
      <w:r>
        <w:rPr>
          <w:sz w:val="28"/>
          <w:szCs w:val="28"/>
        </w:rPr>
        <w:tab/>
      </w:r>
      <w:r>
        <w:rPr>
          <w:sz w:val="28"/>
          <w:szCs w:val="28"/>
        </w:rPr>
        <w:fldChar w:fldCharType="begin"/>
      </w:r>
      <w:r>
        <w:rPr>
          <w:sz w:val="28"/>
          <w:szCs w:val="28"/>
        </w:rPr>
        <w:instrText xml:space="preserve"> PAGEREF _Toc7245 \h </w:instrText>
      </w:r>
      <w:r>
        <w:rPr>
          <w:sz w:val="28"/>
          <w:szCs w:val="28"/>
        </w:rPr>
        <w:fldChar w:fldCharType="separate"/>
      </w:r>
      <w:r>
        <w:rPr>
          <w:sz w:val="28"/>
          <w:szCs w:val="28"/>
        </w:rPr>
        <w:t>50</w:t>
      </w:r>
      <w:r>
        <w:rPr>
          <w:sz w:val="28"/>
          <w:szCs w:val="28"/>
        </w:rPr>
        <w:fldChar w:fldCharType="end"/>
      </w:r>
      <w:r>
        <w:rPr>
          <w:rFonts w:hint="eastAsia"/>
          <w:sz w:val="28"/>
          <w:szCs w:val="28"/>
          <w:lang w:val="en-US" w:eastAsia="zh-CN"/>
        </w:rPr>
        <w:fldChar w:fldCharType="end"/>
      </w:r>
    </w:p>
    <w:p w14:paraId="18CA1003">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_Toc8919 </w:instrText>
      </w:r>
      <w:r>
        <w:rPr>
          <w:rFonts w:hint="eastAsia"/>
          <w:sz w:val="28"/>
          <w:szCs w:val="28"/>
          <w:lang w:val="en-US" w:eastAsia="zh-CN"/>
        </w:rPr>
        <w:fldChar w:fldCharType="separate"/>
      </w:r>
      <w:r>
        <w:rPr>
          <w:rFonts w:hint="eastAsia" w:ascii="黑体" w:hAnsi="黑体" w:eastAsia="黑体" w:cs="黑体"/>
          <w:sz w:val="28"/>
          <w:szCs w:val="28"/>
          <w:lang w:val="en-US" w:eastAsia="zh-CN"/>
        </w:rPr>
        <w:t>6.5经费投入</w:t>
      </w:r>
      <w:r>
        <w:rPr>
          <w:sz w:val="28"/>
          <w:szCs w:val="28"/>
        </w:rPr>
        <w:tab/>
      </w:r>
      <w:r>
        <w:rPr>
          <w:sz w:val="28"/>
          <w:szCs w:val="28"/>
        </w:rPr>
        <w:fldChar w:fldCharType="begin"/>
      </w:r>
      <w:r>
        <w:rPr>
          <w:sz w:val="28"/>
          <w:szCs w:val="28"/>
        </w:rPr>
        <w:instrText xml:space="preserve"> PAGEREF _Toc8919 \h </w:instrText>
      </w:r>
      <w:r>
        <w:rPr>
          <w:sz w:val="28"/>
          <w:szCs w:val="28"/>
        </w:rPr>
        <w:fldChar w:fldCharType="separate"/>
      </w:r>
      <w:r>
        <w:rPr>
          <w:sz w:val="28"/>
          <w:szCs w:val="28"/>
        </w:rPr>
        <w:t>50</w:t>
      </w:r>
      <w:r>
        <w:rPr>
          <w:sz w:val="28"/>
          <w:szCs w:val="28"/>
        </w:rPr>
        <w:fldChar w:fldCharType="end"/>
      </w:r>
      <w:r>
        <w:rPr>
          <w:rFonts w:hint="eastAsia"/>
          <w:sz w:val="28"/>
          <w:szCs w:val="28"/>
          <w:lang w:val="en-US" w:eastAsia="zh-CN"/>
        </w:rPr>
        <w:fldChar w:fldCharType="end"/>
      </w:r>
    </w:p>
    <w:p w14:paraId="4414AB88">
      <w:pPr>
        <w:pStyle w:val="14"/>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_Toc27514 </w:instrText>
      </w:r>
      <w:r>
        <w:rPr>
          <w:rFonts w:hint="eastAsia"/>
          <w:sz w:val="28"/>
          <w:szCs w:val="28"/>
          <w:lang w:val="en-US" w:eastAsia="zh-CN"/>
        </w:rPr>
        <w:fldChar w:fldCharType="separate"/>
      </w:r>
      <w:r>
        <w:rPr>
          <w:rFonts w:hint="eastAsia" w:ascii="黑体" w:hAnsi="黑体" w:eastAsia="黑体" w:cs="黑体"/>
          <w:sz w:val="28"/>
          <w:szCs w:val="28"/>
          <w:lang w:val="en-US" w:eastAsia="zh-CN"/>
        </w:rPr>
        <w:t>7.挑战和展望</w:t>
      </w:r>
      <w:r>
        <w:rPr>
          <w:sz w:val="28"/>
          <w:szCs w:val="28"/>
        </w:rPr>
        <w:tab/>
      </w:r>
      <w:r>
        <w:rPr>
          <w:sz w:val="28"/>
          <w:szCs w:val="28"/>
        </w:rPr>
        <w:fldChar w:fldCharType="begin"/>
      </w:r>
      <w:r>
        <w:rPr>
          <w:sz w:val="28"/>
          <w:szCs w:val="28"/>
        </w:rPr>
        <w:instrText xml:space="preserve"> PAGEREF _Toc27514 \h </w:instrText>
      </w:r>
      <w:r>
        <w:rPr>
          <w:sz w:val="28"/>
          <w:szCs w:val="28"/>
        </w:rPr>
        <w:fldChar w:fldCharType="separate"/>
      </w:r>
      <w:r>
        <w:rPr>
          <w:sz w:val="28"/>
          <w:szCs w:val="28"/>
        </w:rPr>
        <w:t>51</w:t>
      </w:r>
      <w:r>
        <w:rPr>
          <w:sz w:val="28"/>
          <w:szCs w:val="28"/>
        </w:rPr>
        <w:fldChar w:fldCharType="end"/>
      </w:r>
      <w:r>
        <w:rPr>
          <w:rFonts w:hint="eastAsia"/>
          <w:sz w:val="28"/>
          <w:szCs w:val="28"/>
          <w:lang w:val="en-US" w:eastAsia="zh-CN"/>
        </w:rPr>
        <w:fldChar w:fldCharType="end"/>
      </w:r>
    </w:p>
    <w:p w14:paraId="2A3C6CC7">
      <w:pPr>
        <w:pStyle w:val="16"/>
        <w:tabs>
          <w:tab w:val="right" w:leader="dot" w:pos="8306"/>
        </w:tabs>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_Toc13889 </w:instrText>
      </w:r>
      <w:r>
        <w:rPr>
          <w:rFonts w:hint="eastAsia"/>
          <w:sz w:val="28"/>
          <w:szCs w:val="28"/>
          <w:lang w:val="en-US" w:eastAsia="zh-CN"/>
        </w:rPr>
        <w:fldChar w:fldCharType="separate"/>
      </w:r>
      <w:r>
        <w:rPr>
          <w:rFonts w:hint="eastAsia" w:ascii="黑体" w:hAnsi="黑体" w:eastAsia="黑体" w:cs="黑体"/>
          <w:sz w:val="28"/>
          <w:szCs w:val="28"/>
          <w:lang w:val="en-US" w:eastAsia="zh-CN"/>
        </w:rPr>
        <w:t>7.1面临挑战</w:t>
      </w:r>
      <w:r>
        <w:rPr>
          <w:sz w:val="28"/>
          <w:szCs w:val="28"/>
        </w:rPr>
        <w:tab/>
      </w:r>
      <w:r>
        <w:rPr>
          <w:sz w:val="28"/>
          <w:szCs w:val="28"/>
        </w:rPr>
        <w:fldChar w:fldCharType="begin"/>
      </w:r>
      <w:r>
        <w:rPr>
          <w:sz w:val="28"/>
          <w:szCs w:val="28"/>
        </w:rPr>
        <w:instrText xml:space="preserve"> PAGEREF _Toc13889 \h </w:instrText>
      </w:r>
      <w:r>
        <w:rPr>
          <w:sz w:val="28"/>
          <w:szCs w:val="28"/>
        </w:rPr>
        <w:fldChar w:fldCharType="separate"/>
      </w:r>
      <w:r>
        <w:rPr>
          <w:sz w:val="28"/>
          <w:szCs w:val="28"/>
        </w:rPr>
        <w:t>51</w:t>
      </w:r>
      <w:r>
        <w:rPr>
          <w:sz w:val="28"/>
          <w:szCs w:val="28"/>
        </w:rPr>
        <w:fldChar w:fldCharType="end"/>
      </w:r>
      <w:r>
        <w:rPr>
          <w:rFonts w:hint="eastAsia"/>
          <w:sz w:val="28"/>
          <w:szCs w:val="28"/>
          <w:lang w:val="en-US" w:eastAsia="zh-CN"/>
        </w:rPr>
        <w:fldChar w:fldCharType="end"/>
      </w:r>
    </w:p>
    <w:p w14:paraId="1A748F0B">
      <w:pPr>
        <w:pStyle w:val="16"/>
        <w:tabs>
          <w:tab w:val="right" w:leader="dot" w:pos="8306"/>
        </w:tabs>
      </w:pPr>
      <w:r>
        <w:rPr>
          <w:rFonts w:hint="eastAsia"/>
          <w:sz w:val="28"/>
          <w:szCs w:val="28"/>
          <w:lang w:val="en-US" w:eastAsia="zh-CN"/>
        </w:rPr>
        <w:fldChar w:fldCharType="begin"/>
      </w:r>
      <w:r>
        <w:rPr>
          <w:rFonts w:hint="eastAsia"/>
          <w:sz w:val="28"/>
          <w:szCs w:val="28"/>
          <w:lang w:val="en-US" w:eastAsia="zh-CN"/>
        </w:rPr>
        <w:instrText xml:space="preserve"> HYPERLINK \l _Toc31624 </w:instrText>
      </w:r>
      <w:r>
        <w:rPr>
          <w:rFonts w:hint="eastAsia"/>
          <w:sz w:val="28"/>
          <w:szCs w:val="28"/>
          <w:lang w:val="en-US" w:eastAsia="zh-CN"/>
        </w:rPr>
        <w:fldChar w:fldCharType="separate"/>
      </w:r>
      <w:r>
        <w:rPr>
          <w:rFonts w:hint="eastAsia" w:ascii="黑体" w:hAnsi="黑体" w:eastAsia="黑体" w:cs="黑体"/>
          <w:sz w:val="28"/>
          <w:szCs w:val="28"/>
          <w:lang w:val="en-US" w:eastAsia="zh-CN"/>
        </w:rPr>
        <w:t>7.2未来展望</w:t>
      </w:r>
      <w:r>
        <w:rPr>
          <w:sz w:val="28"/>
          <w:szCs w:val="28"/>
        </w:rPr>
        <w:tab/>
      </w:r>
      <w:r>
        <w:rPr>
          <w:sz w:val="28"/>
          <w:szCs w:val="28"/>
        </w:rPr>
        <w:fldChar w:fldCharType="begin"/>
      </w:r>
      <w:r>
        <w:rPr>
          <w:sz w:val="28"/>
          <w:szCs w:val="28"/>
        </w:rPr>
        <w:instrText xml:space="preserve"> PAGEREF _Toc31624 \h </w:instrText>
      </w:r>
      <w:r>
        <w:rPr>
          <w:sz w:val="28"/>
          <w:szCs w:val="28"/>
        </w:rPr>
        <w:fldChar w:fldCharType="separate"/>
      </w:r>
      <w:r>
        <w:rPr>
          <w:sz w:val="28"/>
          <w:szCs w:val="28"/>
        </w:rPr>
        <w:t>51</w:t>
      </w:r>
      <w:r>
        <w:rPr>
          <w:sz w:val="28"/>
          <w:szCs w:val="28"/>
        </w:rPr>
        <w:fldChar w:fldCharType="end"/>
      </w:r>
      <w:r>
        <w:rPr>
          <w:rFonts w:hint="eastAsia"/>
          <w:sz w:val="28"/>
          <w:szCs w:val="28"/>
          <w:lang w:val="en-US" w:eastAsia="zh-CN"/>
        </w:rPr>
        <w:fldChar w:fldCharType="end"/>
      </w:r>
    </w:p>
    <w:p w14:paraId="6E47CD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Cs w:val="60"/>
          <w:lang w:val="en-US" w:eastAsia="zh-CN"/>
        </w:rPr>
      </w:pPr>
      <w:r>
        <w:rPr>
          <w:rFonts w:hint="eastAsia"/>
          <w:szCs w:val="60"/>
          <w:lang w:val="en-US" w:eastAsia="zh-CN"/>
        </w:rPr>
        <w:fldChar w:fldCharType="end"/>
      </w:r>
    </w:p>
    <w:p w14:paraId="7B56C6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Cs w:val="60"/>
          <w:lang w:val="en-US" w:eastAsia="zh-CN"/>
        </w:rPr>
        <w:sectPr>
          <w:pgSz w:w="11906" w:h="16838"/>
          <w:pgMar w:top="1440" w:right="1800" w:bottom="1440" w:left="1800" w:header="851" w:footer="992" w:gutter="0"/>
          <w:pgNumType w:start="1"/>
          <w:cols w:space="425" w:num="1"/>
          <w:docGrid w:type="lines" w:linePitch="312" w:charSpace="0"/>
        </w:sectPr>
      </w:pPr>
    </w:p>
    <w:p w14:paraId="70D27AD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60"/>
          <w:lang w:val="en-US" w:eastAsia="zh-CN" w:bidi="ar-SA"/>
        </w:rPr>
      </w:pPr>
      <w:bookmarkStart w:id="2" w:name="_Toc31035"/>
      <w:r>
        <w:rPr>
          <w:rStyle w:val="23"/>
          <w:rFonts w:hint="eastAsia"/>
          <w:lang w:val="en-US" w:eastAsia="zh-CN"/>
        </w:rPr>
        <w:t>图目录</w:t>
      </w:r>
      <w:bookmarkEnd w:id="2"/>
      <w:r>
        <w:rPr>
          <w:rFonts w:hint="eastAsia"/>
          <w:szCs w:val="60"/>
          <w:lang w:val="en-US" w:eastAsia="zh-CN"/>
        </w:rPr>
        <w:fldChar w:fldCharType="begin"/>
      </w:r>
      <w:r>
        <w:rPr>
          <w:rFonts w:hint="eastAsia"/>
          <w:szCs w:val="60"/>
          <w:lang w:val="en-US" w:eastAsia="zh-CN"/>
        </w:rPr>
        <w:instrText xml:space="preserve">TOC \h \c "图"</w:instrText>
      </w:r>
      <w:r>
        <w:rPr>
          <w:rFonts w:hint="eastAsia"/>
          <w:szCs w:val="60"/>
          <w:lang w:val="en-US" w:eastAsia="zh-CN"/>
        </w:rPr>
        <w:fldChar w:fldCharType="separate"/>
      </w:r>
    </w:p>
    <w:p w14:paraId="0FE1BD6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_Toc14971 </w:instrText>
      </w:r>
      <w:r>
        <w:rPr>
          <w:rFonts w:hint="eastAsia"/>
          <w:sz w:val="28"/>
          <w:szCs w:val="112"/>
          <w:lang w:val="en-US" w:eastAsia="zh-CN"/>
        </w:rPr>
        <w:fldChar w:fldCharType="separate"/>
      </w:r>
      <w:r>
        <w:rPr>
          <w:sz w:val="28"/>
          <w:szCs w:val="36"/>
        </w:rPr>
        <w:t xml:space="preserve">图 1 </w:t>
      </w:r>
      <w:r>
        <w:rPr>
          <w:rFonts w:hint="eastAsia"/>
          <w:sz w:val="28"/>
          <w:szCs w:val="36"/>
          <w:lang w:val="en-US" w:eastAsia="zh-CN"/>
        </w:rPr>
        <w:t xml:space="preserve">  学校鸟瞰图</w:t>
      </w:r>
      <w:r>
        <w:rPr>
          <w:sz w:val="28"/>
          <w:szCs w:val="36"/>
        </w:rPr>
        <w:tab/>
      </w:r>
      <w:r>
        <w:rPr>
          <w:sz w:val="28"/>
          <w:szCs w:val="36"/>
        </w:rPr>
        <w:fldChar w:fldCharType="begin"/>
      </w:r>
      <w:r>
        <w:rPr>
          <w:sz w:val="28"/>
          <w:szCs w:val="36"/>
        </w:rPr>
        <w:instrText xml:space="preserve"> PAGEREF _Toc14971 \h </w:instrText>
      </w:r>
      <w:r>
        <w:rPr>
          <w:sz w:val="28"/>
          <w:szCs w:val="36"/>
        </w:rPr>
        <w:fldChar w:fldCharType="separate"/>
      </w:r>
      <w:r>
        <w:rPr>
          <w:sz w:val="28"/>
          <w:szCs w:val="36"/>
        </w:rPr>
        <w:t>8</w:t>
      </w:r>
      <w:r>
        <w:rPr>
          <w:sz w:val="28"/>
          <w:szCs w:val="36"/>
        </w:rPr>
        <w:fldChar w:fldCharType="end"/>
      </w:r>
      <w:r>
        <w:rPr>
          <w:rFonts w:hint="eastAsia"/>
          <w:sz w:val="28"/>
          <w:szCs w:val="112"/>
          <w:lang w:val="en-US" w:eastAsia="zh-CN"/>
        </w:rPr>
        <w:fldChar w:fldCharType="end"/>
      </w:r>
    </w:p>
    <w:p w14:paraId="77A0DEE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_Toc5355 </w:instrText>
      </w:r>
      <w:r>
        <w:rPr>
          <w:rFonts w:hint="eastAsia"/>
          <w:sz w:val="28"/>
          <w:szCs w:val="112"/>
          <w:lang w:val="en-US" w:eastAsia="zh-CN"/>
        </w:rPr>
        <w:fldChar w:fldCharType="separate"/>
      </w:r>
      <w:r>
        <w:rPr>
          <w:sz w:val="28"/>
          <w:szCs w:val="36"/>
        </w:rPr>
        <w:t xml:space="preserve">图 2 </w:t>
      </w:r>
      <w:r>
        <w:rPr>
          <w:rFonts w:hint="eastAsia"/>
          <w:sz w:val="28"/>
          <w:szCs w:val="36"/>
          <w:lang w:val="en-US" w:eastAsia="zh-CN"/>
        </w:rPr>
        <w:t xml:space="preserve">  产教融合基地教学楼</w:t>
      </w:r>
      <w:r>
        <w:rPr>
          <w:sz w:val="28"/>
          <w:szCs w:val="36"/>
        </w:rPr>
        <w:tab/>
      </w:r>
      <w:r>
        <w:rPr>
          <w:sz w:val="28"/>
          <w:szCs w:val="36"/>
        </w:rPr>
        <w:fldChar w:fldCharType="begin"/>
      </w:r>
      <w:r>
        <w:rPr>
          <w:sz w:val="28"/>
          <w:szCs w:val="36"/>
        </w:rPr>
        <w:instrText xml:space="preserve"> PAGEREF _Toc5355 \h </w:instrText>
      </w:r>
      <w:r>
        <w:rPr>
          <w:sz w:val="28"/>
          <w:szCs w:val="36"/>
        </w:rPr>
        <w:fldChar w:fldCharType="separate"/>
      </w:r>
      <w:r>
        <w:rPr>
          <w:sz w:val="28"/>
          <w:szCs w:val="36"/>
        </w:rPr>
        <w:t>9</w:t>
      </w:r>
      <w:r>
        <w:rPr>
          <w:sz w:val="28"/>
          <w:szCs w:val="36"/>
        </w:rPr>
        <w:fldChar w:fldCharType="end"/>
      </w:r>
      <w:r>
        <w:rPr>
          <w:rFonts w:hint="eastAsia"/>
          <w:sz w:val="28"/>
          <w:szCs w:val="112"/>
          <w:lang w:val="en-US" w:eastAsia="zh-CN"/>
        </w:rPr>
        <w:fldChar w:fldCharType="end"/>
      </w:r>
    </w:p>
    <w:p w14:paraId="1A6E389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_Toc3290 </w:instrText>
      </w:r>
      <w:r>
        <w:rPr>
          <w:rFonts w:hint="eastAsia"/>
          <w:sz w:val="28"/>
          <w:szCs w:val="112"/>
          <w:lang w:val="en-US" w:eastAsia="zh-CN"/>
        </w:rPr>
        <w:fldChar w:fldCharType="separate"/>
      </w:r>
      <w:r>
        <w:rPr>
          <w:sz w:val="28"/>
          <w:szCs w:val="36"/>
        </w:rPr>
        <w:t xml:space="preserve">图 3 </w:t>
      </w:r>
      <w:r>
        <w:rPr>
          <w:rFonts w:hint="eastAsia"/>
          <w:sz w:val="28"/>
          <w:szCs w:val="36"/>
          <w:lang w:val="en-US" w:eastAsia="zh-CN"/>
        </w:rPr>
        <w:t xml:space="preserve">  </w:t>
      </w:r>
      <w:r>
        <w:rPr>
          <w:rFonts w:hint="eastAsia"/>
          <w:sz w:val="28"/>
          <w:szCs w:val="36"/>
          <w:lang w:eastAsia="zh-CN"/>
        </w:rPr>
        <w:t>上海交大教育集团六安天河科技学院项目</w:t>
      </w:r>
      <w:r>
        <w:rPr>
          <w:rFonts w:hint="eastAsia"/>
          <w:sz w:val="28"/>
          <w:szCs w:val="36"/>
          <w:lang w:val="en-US" w:eastAsia="zh-CN"/>
        </w:rPr>
        <w:t xml:space="preserve">开工庆典 </w:t>
      </w:r>
      <w:r>
        <w:rPr>
          <w:sz w:val="28"/>
          <w:szCs w:val="36"/>
        </w:rPr>
        <w:tab/>
      </w:r>
      <w:r>
        <w:rPr>
          <w:sz w:val="28"/>
          <w:szCs w:val="36"/>
        </w:rPr>
        <w:fldChar w:fldCharType="begin"/>
      </w:r>
      <w:r>
        <w:rPr>
          <w:sz w:val="28"/>
          <w:szCs w:val="36"/>
        </w:rPr>
        <w:instrText xml:space="preserve"> PAGEREF _Toc3290 \h </w:instrText>
      </w:r>
      <w:r>
        <w:rPr>
          <w:sz w:val="28"/>
          <w:szCs w:val="36"/>
        </w:rPr>
        <w:fldChar w:fldCharType="separate"/>
      </w:r>
      <w:r>
        <w:rPr>
          <w:sz w:val="28"/>
          <w:szCs w:val="36"/>
        </w:rPr>
        <w:t>12</w:t>
      </w:r>
      <w:r>
        <w:rPr>
          <w:sz w:val="28"/>
          <w:szCs w:val="36"/>
        </w:rPr>
        <w:fldChar w:fldCharType="end"/>
      </w:r>
      <w:r>
        <w:rPr>
          <w:rFonts w:hint="eastAsia"/>
          <w:sz w:val="28"/>
          <w:szCs w:val="112"/>
          <w:lang w:val="en-US" w:eastAsia="zh-CN"/>
        </w:rPr>
        <w:fldChar w:fldCharType="end"/>
      </w:r>
    </w:p>
    <w:p w14:paraId="73810AB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_Toc22198 </w:instrText>
      </w:r>
      <w:r>
        <w:rPr>
          <w:rFonts w:hint="eastAsia"/>
          <w:sz w:val="28"/>
          <w:szCs w:val="112"/>
          <w:lang w:val="en-US" w:eastAsia="zh-CN"/>
        </w:rPr>
        <w:fldChar w:fldCharType="separate"/>
      </w:r>
      <w:r>
        <w:rPr>
          <w:sz w:val="28"/>
          <w:szCs w:val="36"/>
        </w:rPr>
        <w:t xml:space="preserve">图 4 </w:t>
      </w:r>
      <w:r>
        <w:rPr>
          <w:rFonts w:hint="eastAsia"/>
          <w:sz w:val="28"/>
          <w:szCs w:val="36"/>
          <w:lang w:val="en-US" w:eastAsia="zh-CN"/>
        </w:rPr>
        <w:t xml:space="preserve">  </w:t>
      </w:r>
      <w:r>
        <w:rPr>
          <w:rFonts w:hint="eastAsia"/>
          <w:sz w:val="28"/>
          <w:szCs w:val="36"/>
          <w:lang w:eastAsia="zh-CN"/>
        </w:rPr>
        <w:t>图书馆和艺体技能实训楼</w:t>
      </w:r>
      <w:r>
        <w:rPr>
          <w:sz w:val="28"/>
          <w:szCs w:val="36"/>
        </w:rPr>
        <w:tab/>
      </w:r>
      <w:r>
        <w:rPr>
          <w:sz w:val="28"/>
          <w:szCs w:val="36"/>
        </w:rPr>
        <w:fldChar w:fldCharType="begin"/>
      </w:r>
      <w:r>
        <w:rPr>
          <w:sz w:val="28"/>
          <w:szCs w:val="36"/>
        </w:rPr>
        <w:instrText xml:space="preserve"> PAGEREF _Toc22198 \h </w:instrText>
      </w:r>
      <w:r>
        <w:rPr>
          <w:sz w:val="28"/>
          <w:szCs w:val="36"/>
        </w:rPr>
        <w:fldChar w:fldCharType="separate"/>
      </w:r>
      <w:r>
        <w:rPr>
          <w:sz w:val="28"/>
          <w:szCs w:val="36"/>
        </w:rPr>
        <w:t>13</w:t>
      </w:r>
      <w:r>
        <w:rPr>
          <w:sz w:val="28"/>
          <w:szCs w:val="36"/>
        </w:rPr>
        <w:fldChar w:fldCharType="end"/>
      </w:r>
      <w:r>
        <w:rPr>
          <w:rFonts w:hint="eastAsia"/>
          <w:sz w:val="28"/>
          <w:szCs w:val="112"/>
          <w:lang w:val="en-US" w:eastAsia="zh-CN"/>
        </w:rPr>
        <w:fldChar w:fldCharType="end"/>
      </w:r>
    </w:p>
    <w:p w14:paraId="48437E5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_Toc21051 </w:instrText>
      </w:r>
      <w:r>
        <w:rPr>
          <w:rFonts w:hint="eastAsia"/>
          <w:sz w:val="28"/>
          <w:szCs w:val="112"/>
          <w:lang w:val="en-US" w:eastAsia="zh-CN"/>
        </w:rPr>
        <w:fldChar w:fldCharType="separate"/>
      </w:r>
      <w:r>
        <w:rPr>
          <w:sz w:val="28"/>
          <w:szCs w:val="36"/>
        </w:rPr>
        <w:t xml:space="preserve">图 5 </w:t>
      </w:r>
      <w:r>
        <w:rPr>
          <w:rFonts w:hint="eastAsia"/>
          <w:sz w:val="28"/>
          <w:szCs w:val="36"/>
          <w:lang w:val="en-US" w:eastAsia="zh-CN"/>
        </w:rPr>
        <w:t xml:space="preserve">  龚辉老师荣获全国一等奖（典型案例）荣誉证书</w:t>
      </w:r>
      <w:r>
        <w:rPr>
          <w:sz w:val="28"/>
          <w:szCs w:val="36"/>
        </w:rPr>
        <w:tab/>
      </w:r>
      <w:r>
        <w:rPr>
          <w:sz w:val="28"/>
          <w:szCs w:val="36"/>
        </w:rPr>
        <w:fldChar w:fldCharType="begin"/>
      </w:r>
      <w:r>
        <w:rPr>
          <w:sz w:val="28"/>
          <w:szCs w:val="36"/>
        </w:rPr>
        <w:instrText xml:space="preserve"> PAGEREF _Toc21051 \h </w:instrText>
      </w:r>
      <w:r>
        <w:rPr>
          <w:sz w:val="28"/>
          <w:szCs w:val="36"/>
        </w:rPr>
        <w:fldChar w:fldCharType="separate"/>
      </w:r>
      <w:r>
        <w:rPr>
          <w:sz w:val="28"/>
          <w:szCs w:val="36"/>
        </w:rPr>
        <w:t>16</w:t>
      </w:r>
      <w:r>
        <w:rPr>
          <w:sz w:val="28"/>
          <w:szCs w:val="36"/>
        </w:rPr>
        <w:fldChar w:fldCharType="end"/>
      </w:r>
      <w:r>
        <w:rPr>
          <w:rFonts w:hint="eastAsia"/>
          <w:sz w:val="28"/>
          <w:szCs w:val="112"/>
          <w:lang w:val="en-US" w:eastAsia="zh-CN"/>
        </w:rPr>
        <w:fldChar w:fldCharType="end"/>
      </w:r>
    </w:p>
    <w:p w14:paraId="6B35D98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_Toc17265 </w:instrText>
      </w:r>
      <w:r>
        <w:rPr>
          <w:rFonts w:hint="eastAsia"/>
          <w:sz w:val="28"/>
          <w:szCs w:val="112"/>
          <w:lang w:val="en-US" w:eastAsia="zh-CN"/>
        </w:rPr>
        <w:fldChar w:fldCharType="separate"/>
      </w:r>
      <w:r>
        <w:rPr>
          <w:sz w:val="28"/>
          <w:szCs w:val="36"/>
        </w:rPr>
        <w:t xml:space="preserve">图 6 </w:t>
      </w:r>
      <w:r>
        <w:rPr>
          <w:rFonts w:hint="eastAsia"/>
          <w:sz w:val="28"/>
          <w:szCs w:val="36"/>
          <w:lang w:val="en-US" w:eastAsia="zh-CN"/>
        </w:rPr>
        <w:t xml:space="preserve">  龚辉老师参加全国决赛留影</w:t>
      </w:r>
      <w:r>
        <w:rPr>
          <w:rFonts w:hint="eastAsia"/>
          <w:sz w:val="28"/>
          <w:szCs w:val="36"/>
          <w:lang w:eastAsia="zh-CN"/>
        </w:rPr>
        <w:t xml:space="preserve"> </w:t>
      </w:r>
      <w:r>
        <w:rPr>
          <w:sz w:val="28"/>
          <w:szCs w:val="36"/>
        </w:rPr>
        <w:tab/>
      </w:r>
      <w:r>
        <w:rPr>
          <w:sz w:val="28"/>
          <w:szCs w:val="36"/>
        </w:rPr>
        <w:fldChar w:fldCharType="begin"/>
      </w:r>
      <w:r>
        <w:rPr>
          <w:sz w:val="28"/>
          <w:szCs w:val="36"/>
        </w:rPr>
        <w:instrText xml:space="preserve"> PAGEREF _Toc17265 \h </w:instrText>
      </w:r>
      <w:r>
        <w:rPr>
          <w:sz w:val="28"/>
          <w:szCs w:val="36"/>
        </w:rPr>
        <w:fldChar w:fldCharType="separate"/>
      </w:r>
      <w:r>
        <w:rPr>
          <w:sz w:val="28"/>
          <w:szCs w:val="36"/>
        </w:rPr>
        <w:t>17</w:t>
      </w:r>
      <w:r>
        <w:rPr>
          <w:sz w:val="28"/>
          <w:szCs w:val="36"/>
        </w:rPr>
        <w:fldChar w:fldCharType="end"/>
      </w:r>
      <w:r>
        <w:rPr>
          <w:rFonts w:hint="eastAsia"/>
          <w:sz w:val="28"/>
          <w:szCs w:val="112"/>
          <w:lang w:val="en-US" w:eastAsia="zh-CN"/>
        </w:rPr>
        <w:fldChar w:fldCharType="end"/>
      </w:r>
    </w:p>
    <w:p w14:paraId="7092EC2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_Toc18616 </w:instrText>
      </w:r>
      <w:r>
        <w:rPr>
          <w:rFonts w:hint="eastAsia"/>
          <w:sz w:val="28"/>
          <w:szCs w:val="112"/>
          <w:lang w:val="en-US" w:eastAsia="zh-CN"/>
        </w:rPr>
        <w:fldChar w:fldCharType="separate"/>
      </w:r>
      <w:r>
        <w:rPr>
          <w:sz w:val="28"/>
          <w:szCs w:val="36"/>
        </w:rPr>
        <w:t xml:space="preserve">图 7 </w:t>
      </w:r>
      <w:r>
        <w:rPr>
          <w:rFonts w:hint="eastAsia"/>
          <w:sz w:val="28"/>
          <w:szCs w:val="36"/>
          <w:lang w:val="en-US" w:eastAsia="zh-CN"/>
        </w:rPr>
        <w:t xml:space="preserve">  龚辉老师在公共基础课比赛展示现场</w:t>
      </w:r>
      <w:r>
        <w:rPr>
          <w:sz w:val="28"/>
          <w:szCs w:val="36"/>
        </w:rPr>
        <w:tab/>
      </w:r>
      <w:r>
        <w:rPr>
          <w:sz w:val="28"/>
          <w:szCs w:val="36"/>
        </w:rPr>
        <w:fldChar w:fldCharType="begin"/>
      </w:r>
      <w:r>
        <w:rPr>
          <w:sz w:val="28"/>
          <w:szCs w:val="36"/>
        </w:rPr>
        <w:instrText xml:space="preserve"> PAGEREF _Toc18616 \h </w:instrText>
      </w:r>
      <w:r>
        <w:rPr>
          <w:sz w:val="28"/>
          <w:szCs w:val="36"/>
        </w:rPr>
        <w:fldChar w:fldCharType="separate"/>
      </w:r>
      <w:r>
        <w:rPr>
          <w:sz w:val="28"/>
          <w:szCs w:val="36"/>
        </w:rPr>
        <w:t>18</w:t>
      </w:r>
      <w:r>
        <w:rPr>
          <w:sz w:val="28"/>
          <w:szCs w:val="36"/>
        </w:rPr>
        <w:fldChar w:fldCharType="end"/>
      </w:r>
      <w:r>
        <w:rPr>
          <w:rFonts w:hint="eastAsia"/>
          <w:sz w:val="28"/>
          <w:szCs w:val="112"/>
          <w:lang w:val="en-US" w:eastAsia="zh-CN"/>
        </w:rPr>
        <w:fldChar w:fldCharType="end"/>
      </w:r>
    </w:p>
    <w:p w14:paraId="15D329F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_Toc7714 </w:instrText>
      </w:r>
      <w:r>
        <w:rPr>
          <w:rFonts w:hint="eastAsia"/>
          <w:sz w:val="28"/>
          <w:szCs w:val="112"/>
          <w:lang w:val="en-US" w:eastAsia="zh-CN"/>
        </w:rPr>
        <w:fldChar w:fldCharType="separate"/>
      </w:r>
      <w:r>
        <w:rPr>
          <w:sz w:val="28"/>
          <w:szCs w:val="36"/>
        </w:rPr>
        <w:t xml:space="preserve">图 8 </w:t>
      </w:r>
      <w:r>
        <w:rPr>
          <w:rFonts w:hint="eastAsia"/>
          <w:sz w:val="28"/>
          <w:szCs w:val="36"/>
          <w:lang w:val="en-US" w:eastAsia="zh-CN"/>
        </w:rPr>
        <w:t xml:space="preserve">  2025年主题团课上学生在认真做笔记</w:t>
      </w:r>
      <w:r>
        <w:rPr>
          <w:sz w:val="28"/>
          <w:szCs w:val="36"/>
        </w:rPr>
        <w:tab/>
      </w:r>
      <w:r>
        <w:rPr>
          <w:sz w:val="28"/>
          <w:szCs w:val="36"/>
        </w:rPr>
        <w:fldChar w:fldCharType="begin"/>
      </w:r>
      <w:r>
        <w:rPr>
          <w:sz w:val="28"/>
          <w:szCs w:val="36"/>
        </w:rPr>
        <w:instrText xml:space="preserve"> PAGEREF _Toc7714 \h </w:instrText>
      </w:r>
      <w:r>
        <w:rPr>
          <w:sz w:val="28"/>
          <w:szCs w:val="36"/>
        </w:rPr>
        <w:fldChar w:fldCharType="separate"/>
      </w:r>
      <w:r>
        <w:rPr>
          <w:sz w:val="28"/>
          <w:szCs w:val="36"/>
        </w:rPr>
        <w:t>19</w:t>
      </w:r>
      <w:r>
        <w:rPr>
          <w:sz w:val="28"/>
          <w:szCs w:val="36"/>
        </w:rPr>
        <w:fldChar w:fldCharType="end"/>
      </w:r>
      <w:r>
        <w:rPr>
          <w:rFonts w:hint="eastAsia"/>
          <w:sz w:val="28"/>
          <w:szCs w:val="112"/>
          <w:lang w:val="en-US" w:eastAsia="zh-CN"/>
        </w:rPr>
        <w:fldChar w:fldCharType="end"/>
      </w:r>
    </w:p>
    <w:p w14:paraId="29D5FE3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_Toc168 </w:instrText>
      </w:r>
      <w:r>
        <w:rPr>
          <w:rFonts w:hint="eastAsia"/>
          <w:sz w:val="28"/>
          <w:szCs w:val="112"/>
          <w:lang w:val="en-US" w:eastAsia="zh-CN"/>
        </w:rPr>
        <w:fldChar w:fldCharType="separate"/>
      </w:r>
      <w:r>
        <w:rPr>
          <w:sz w:val="28"/>
          <w:szCs w:val="36"/>
        </w:rPr>
        <w:t xml:space="preserve">图 9 </w:t>
      </w:r>
      <w:r>
        <w:rPr>
          <w:rFonts w:hint="eastAsia"/>
          <w:sz w:val="28"/>
          <w:szCs w:val="36"/>
          <w:lang w:val="en-US" w:eastAsia="zh-CN"/>
        </w:rPr>
        <w:t xml:space="preserve">  学生参加“英雄铸伟业，青春颂华章”主题朗诵比赛</w:t>
      </w:r>
      <w:r>
        <w:rPr>
          <w:sz w:val="28"/>
          <w:szCs w:val="36"/>
        </w:rPr>
        <w:tab/>
      </w:r>
      <w:r>
        <w:rPr>
          <w:sz w:val="28"/>
          <w:szCs w:val="36"/>
        </w:rPr>
        <w:fldChar w:fldCharType="begin"/>
      </w:r>
      <w:r>
        <w:rPr>
          <w:sz w:val="28"/>
          <w:szCs w:val="36"/>
        </w:rPr>
        <w:instrText xml:space="preserve"> PAGEREF _Toc168 \h </w:instrText>
      </w:r>
      <w:r>
        <w:rPr>
          <w:sz w:val="28"/>
          <w:szCs w:val="36"/>
        </w:rPr>
        <w:fldChar w:fldCharType="separate"/>
      </w:r>
      <w:r>
        <w:rPr>
          <w:sz w:val="28"/>
          <w:szCs w:val="36"/>
        </w:rPr>
        <w:t>20</w:t>
      </w:r>
      <w:r>
        <w:rPr>
          <w:sz w:val="28"/>
          <w:szCs w:val="36"/>
        </w:rPr>
        <w:fldChar w:fldCharType="end"/>
      </w:r>
      <w:r>
        <w:rPr>
          <w:rFonts w:hint="eastAsia"/>
          <w:sz w:val="28"/>
          <w:szCs w:val="112"/>
          <w:lang w:val="en-US" w:eastAsia="zh-CN"/>
        </w:rPr>
        <w:fldChar w:fldCharType="end"/>
      </w:r>
    </w:p>
    <w:p w14:paraId="64E5E60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_Toc22528 </w:instrText>
      </w:r>
      <w:r>
        <w:rPr>
          <w:rFonts w:hint="eastAsia"/>
          <w:sz w:val="28"/>
          <w:szCs w:val="112"/>
          <w:lang w:val="en-US" w:eastAsia="zh-CN"/>
        </w:rPr>
        <w:fldChar w:fldCharType="separate"/>
      </w:r>
      <w:r>
        <w:rPr>
          <w:sz w:val="28"/>
          <w:szCs w:val="36"/>
        </w:rPr>
        <w:t xml:space="preserve">图 10 </w:t>
      </w:r>
      <w:r>
        <w:rPr>
          <w:rFonts w:hint="eastAsia"/>
          <w:sz w:val="28"/>
          <w:szCs w:val="36"/>
          <w:lang w:val="en-US" w:eastAsia="zh-CN"/>
        </w:rPr>
        <w:t xml:space="preserve">  </w:t>
      </w:r>
      <w:r>
        <w:rPr>
          <w:rFonts w:hint="eastAsia"/>
          <w:sz w:val="28"/>
          <w:szCs w:val="36"/>
          <w:lang w:eastAsia="zh-CN"/>
        </w:rPr>
        <w:t>第十</w:t>
      </w:r>
      <w:r>
        <w:rPr>
          <w:rFonts w:hint="eastAsia"/>
          <w:sz w:val="28"/>
          <w:szCs w:val="36"/>
          <w:lang w:val="en-US" w:eastAsia="zh-CN"/>
        </w:rPr>
        <w:t>四</w:t>
      </w:r>
      <w:r>
        <w:rPr>
          <w:rFonts w:hint="eastAsia"/>
          <w:sz w:val="28"/>
          <w:szCs w:val="36"/>
          <w:lang w:eastAsia="zh-CN"/>
        </w:rPr>
        <w:t>届田径运动会上</w:t>
      </w:r>
      <w:r>
        <w:rPr>
          <w:rFonts w:hint="eastAsia"/>
          <w:sz w:val="28"/>
          <w:szCs w:val="36"/>
          <w:lang w:val="en-US" w:eastAsia="zh-CN"/>
        </w:rPr>
        <w:t>接力瞬间</w:t>
      </w:r>
      <w:r>
        <w:rPr>
          <w:sz w:val="28"/>
          <w:szCs w:val="36"/>
        </w:rPr>
        <w:tab/>
      </w:r>
      <w:r>
        <w:rPr>
          <w:sz w:val="28"/>
          <w:szCs w:val="36"/>
        </w:rPr>
        <w:fldChar w:fldCharType="begin"/>
      </w:r>
      <w:r>
        <w:rPr>
          <w:sz w:val="28"/>
          <w:szCs w:val="36"/>
        </w:rPr>
        <w:instrText xml:space="preserve"> PAGEREF _Toc22528 \h </w:instrText>
      </w:r>
      <w:r>
        <w:rPr>
          <w:sz w:val="28"/>
          <w:szCs w:val="36"/>
        </w:rPr>
        <w:fldChar w:fldCharType="separate"/>
      </w:r>
      <w:r>
        <w:rPr>
          <w:sz w:val="28"/>
          <w:szCs w:val="36"/>
        </w:rPr>
        <w:t>22</w:t>
      </w:r>
      <w:r>
        <w:rPr>
          <w:sz w:val="28"/>
          <w:szCs w:val="36"/>
        </w:rPr>
        <w:fldChar w:fldCharType="end"/>
      </w:r>
      <w:r>
        <w:rPr>
          <w:rFonts w:hint="eastAsia"/>
          <w:sz w:val="28"/>
          <w:szCs w:val="112"/>
          <w:lang w:val="en-US" w:eastAsia="zh-CN"/>
        </w:rPr>
        <w:fldChar w:fldCharType="end"/>
      </w:r>
    </w:p>
    <w:p w14:paraId="66103D3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_Toc17431 </w:instrText>
      </w:r>
      <w:r>
        <w:rPr>
          <w:rFonts w:hint="eastAsia"/>
          <w:sz w:val="28"/>
          <w:szCs w:val="112"/>
          <w:lang w:val="en-US" w:eastAsia="zh-CN"/>
        </w:rPr>
        <w:fldChar w:fldCharType="separate"/>
      </w:r>
      <w:r>
        <w:rPr>
          <w:sz w:val="28"/>
          <w:szCs w:val="36"/>
        </w:rPr>
        <w:t xml:space="preserve">图 11 </w:t>
      </w:r>
      <w:r>
        <w:rPr>
          <w:rFonts w:hint="eastAsia"/>
          <w:sz w:val="28"/>
          <w:szCs w:val="36"/>
          <w:lang w:val="en-US" w:eastAsia="zh-CN"/>
        </w:rPr>
        <w:t xml:space="preserve">  国防教育周教官教学生叠被子</w:t>
      </w:r>
      <w:r>
        <w:rPr>
          <w:sz w:val="28"/>
          <w:szCs w:val="36"/>
        </w:rPr>
        <w:tab/>
      </w:r>
      <w:r>
        <w:rPr>
          <w:sz w:val="28"/>
          <w:szCs w:val="36"/>
        </w:rPr>
        <w:fldChar w:fldCharType="begin"/>
      </w:r>
      <w:r>
        <w:rPr>
          <w:sz w:val="28"/>
          <w:szCs w:val="36"/>
        </w:rPr>
        <w:instrText xml:space="preserve"> PAGEREF _Toc17431 \h </w:instrText>
      </w:r>
      <w:r>
        <w:rPr>
          <w:sz w:val="28"/>
          <w:szCs w:val="36"/>
        </w:rPr>
        <w:fldChar w:fldCharType="separate"/>
      </w:r>
      <w:r>
        <w:rPr>
          <w:sz w:val="28"/>
          <w:szCs w:val="36"/>
        </w:rPr>
        <w:t>23</w:t>
      </w:r>
      <w:r>
        <w:rPr>
          <w:sz w:val="28"/>
          <w:szCs w:val="36"/>
        </w:rPr>
        <w:fldChar w:fldCharType="end"/>
      </w:r>
      <w:r>
        <w:rPr>
          <w:rFonts w:hint="eastAsia"/>
          <w:sz w:val="28"/>
          <w:szCs w:val="112"/>
          <w:lang w:val="en-US" w:eastAsia="zh-CN"/>
        </w:rPr>
        <w:fldChar w:fldCharType="end"/>
      </w:r>
    </w:p>
    <w:p w14:paraId="495A068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_Toc21382 </w:instrText>
      </w:r>
      <w:r>
        <w:rPr>
          <w:rFonts w:hint="eastAsia"/>
          <w:sz w:val="28"/>
          <w:szCs w:val="112"/>
          <w:lang w:val="en-US" w:eastAsia="zh-CN"/>
        </w:rPr>
        <w:fldChar w:fldCharType="separate"/>
      </w:r>
      <w:r>
        <w:rPr>
          <w:sz w:val="28"/>
          <w:szCs w:val="36"/>
        </w:rPr>
        <w:t xml:space="preserve">图 12 </w:t>
      </w:r>
      <w:r>
        <w:rPr>
          <w:rFonts w:hint="eastAsia"/>
          <w:sz w:val="28"/>
          <w:szCs w:val="36"/>
          <w:lang w:val="en-US" w:eastAsia="zh-CN"/>
        </w:rPr>
        <w:t xml:space="preserve">  </w:t>
      </w:r>
      <w:r>
        <w:rPr>
          <w:rFonts w:hint="eastAsia"/>
          <w:sz w:val="28"/>
          <w:szCs w:val="36"/>
          <w:lang w:eastAsia="zh-CN"/>
        </w:rPr>
        <w:t>成人礼上，班主任为学生戴成人帽</w:t>
      </w:r>
      <w:r>
        <w:rPr>
          <w:sz w:val="28"/>
          <w:szCs w:val="36"/>
        </w:rPr>
        <w:tab/>
      </w:r>
      <w:r>
        <w:rPr>
          <w:sz w:val="28"/>
          <w:szCs w:val="36"/>
        </w:rPr>
        <w:fldChar w:fldCharType="begin"/>
      </w:r>
      <w:r>
        <w:rPr>
          <w:sz w:val="28"/>
          <w:szCs w:val="36"/>
        </w:rPr>
        <w:instrText xml:space="preserve"> PAGEREF _Toc21382 \h </w:instrText>
      </w:r>
      <w:r>
        <w:rPr>
          <w:sz w:val="28"/>
          <w:szCs w:val="36"/>
        </w:rPr>
        <w:fldChar w:fldCharType="separate"/>
      </w:r>
      <w:r>
        <w:rPr>
          <w:sz w:val="28"/>
          <w:szCs w:val="36"/>
        </w:rPr>
        <w:t>25</w:t>
      </w:r>
      <w:r>
        <w:rPr>
          <w:sz w:val="28"/>
          <w:szCs w:val="36"/>
        </w:rPr>
        <w:fldChar w:fldCharType="end"/>
      </w:r>
      <w:r>
        <w:rPr>
          <w:rFonts w:hint="eastAsia"/>
          <w:sz w:val="28"/>
          <w:szCs w:val="112"/>
          <w:lang w:val="en-US" w:eastAsia="zh-CN"/>
        </w:rPr>
        <w:fldChar w:fldCharType="end"/>
      </w:r>
    </w:p>
    <w:p w14:paraId="553EFD2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_Toc4724 </w:instrText>
      </w:r>
      <w:r>
        <w:rPr>
          <w:rFonts w:hint="eastAsia"/>
          <w:sz w:val="28"/>
          <w:szCs w:val="112"/>
          <w:lang w:val="en-US" w:eastAsia="zh-CN"/>
        </w:rPr>
        <w:fldChar w:fldCharType="separate"/>
      </w:r>
      <w:r>
        <w:rPr>
          <w:sz w:val="28"/>
          <w:szCs w:val="36"/>
        </w:rPr>
        <w:t xml:space="preserve">图 13 </w:t>
      </w:r>
      <w:r>
        <w:rPr>
          <w:rFonts w:hint="eastAsia"/>
          <w:sz w:val="28"/>
          <w:szCs w:val="36"/>
          <w:lang w:val="en-US" w:eastAsia="zh-CN"/>
        </w:rPr>
        <w:t xml:space="preserve">  </w:t>
      </w:r>
      <w:r>
        <w:rPr>
          <w:rFonts w:hint="eastAsia"/>
          <w:sz w:val="28"/>
          <w:szCs w:val="36"/>
          <w:lang w:eastAsia="zh-CN"/>
        </w:rPr>
        <w:t>教研会上，三名数学老师正在集体备课</w:t>
      </w:r>
      <w:r>
        <w:rPr>
          <w:sz w:val="28"/>
          <w:szCs w:val="36"/>
        </w:rPr>
        <w:tab/>
      </w:r>
      <w:r>
        <w:rPr>
          <w:sz w:val="28"/>
          <w:szCs w:val="36"/>
        </w:rPr>
        <w:fldChar w:fldCharType="begin"/>
      </w:r>
      <w:r>
        <w:rPr>
          <w:sz w:val="28"/>
          <w:szCs w:val="36"/>
        </w:rPr>
        <w:instrText xml:space="preserve"> PAGEREF _Toc4724 \h </w:instrText>
      </w:r>
      <w:r>
        <w:rPr>
          <w:sz w:val="28"/>
          <w:szCs w:val="36"/>
        </w:rPr>
        <w:fldChar w:fldCharType="separate"/>
      </w:r>
      <w:r>
        <w:rPr>
          <w:sz w:val="28"/>
          <w:szCs w:val="36"/>
        </w:rPr>
        <w:t>33</w:t>
      </w:r>
      <w:r>
        <w:rPr>
          <w:sz w:val="28"/>
          <w:szCs w:val="36"/>
        </w:rPr>
        <w:fldChar w:fldCharType="end"/>
      </w:r>
      <w:r>
        <w:rPr>
          <w:rFonts w:hint="eastAsia"/>
          <w:sz w:val="28"/>
          <w:szCs w:val="112"/>
          <w:lang w:val="en-US" w:eastAsia="zh-CN"/>
        </w:rPr>
        <w:fldChar w:fldCharType="end"/>
      </w:r>
    </w:p>
    <w:p w14:paraId="70C6D6C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_Toc24006 </w:instrText>
      </w:r>
      <w:r>
        <w:rPr>
          <w:rFonts w:hint="eastAsia"/>
          <w:sz w:val="28"/>
          <w:szCs w:val="112"/>
          <w:lang w:val="en-US" w:eastAsia="zh-CN"/>
        </w:rPr>
        <w:fldChar w:fldCharType="separate"/>
      </w:r>
      <w:r>
        <w:rPr>
          <w:sz w:val="28"/>
          <w:szCs w:val="36"/>
        </w:rPr>
        <w:t xml:space="preserve">图 14 </w:t>
      </w:r>
      <w:r>
        <w:rPr>
          <w:rFonts w:hint="eastAsia"/>
          <w:sz w:val="28"/>
          <w:szCs w:val="36"/>
          <w:lang w:val="en-US" w:eastAsia="zh-CN"/>
        </w:rPr>
        <w:t xml:space="preserve">  同学们在渡江战役纪念馆前</w:t>
      </w:r>
      <w:r>
        <w:rPr>
          <w:sz w:val="28"/>
          <w:szCs w:val="36"/>
        </w:rPr>
        <w:tab/>
      </w:r>
      <w:r>
        <w:rPr>
          <w:sz w:val="28"/>
          <w:szCs w:val="36"/>
        </w:rPr>
        <w:fldChar w:fldCharType="begin"/>
      </w:r>
      <w:r>
        <w:rPr>
          <w:sz w:val="28"/>
          <w:szCs w:val="36"/>
        </w:rPr>
        <w:instrText xml:space="preserve"> PAGEREF _Toc24006 \h </w:instrText>
      </w:r>
      <w:r>
        <w:rPr>
          <w:sz w:val="28"/>
          <w:szCs w:val="36"/>
        </w:rPr>
        <w:fldChar w:fldCharType="separate"/>
      </w:r>
      <w:r>
        <w:rPr>
          <w:sz w:val="28"/>
          <w:szCs w:val="36"/>
        </w:rPr>
        <w:t>35</w:t>
      </w:r>
      <w:r>
        <w:rPr>
          <w:sz w:val="28"/>
          <w:szCs w:val="36"/>
        </w:rPr>
        <w:fldChar w:fldCharType="end"/>
      </w:r>
      <w:r>
        <w:rPr>
          <w:rFonts w:hint="eastAsia"/>
          <w:sz w:val="28"/>
          <w:szCs w:val="112"/>
          <w:lang w:val="en-US" w:eastAsia="zh-CN"/>
        </w:rPr>
        <w:fldChar w:fldCharType="end"/>
      </w:r>
    </w:p>
    <w:p w14:paraId="070849B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_Toc1162 </w:instrText>
      </w:r>
      <w:r>
        <w:rPr>
          <w:rFonts w:hint="eastAsia"/>
          <w:sz w:val="28"/>
          <w:szCs w:val="112"/>
          <w:lang w:val="en-US" w:eastAsia="zh-CN"/>
        </w:rPr>
        <w:fldChar w:fldCharType="separate"/>
      </w:r>
      <w:r>
        <w:rPr>
          <w:sz w:val="28"/>
          <w:szCs w:val="36"/>
        </w:rPr>
        <w:t xml:space="preserve">图 15 </w:t>
      </w:r>
      <w:r>
        <w:rPr>
          <w:rFonts w:hint="eastAsia"/>
          <w:sz w:val="28"/>
          <w:szCs w:val="36"/>
          <w:lang w:val="en-US" w:eastAsia="zh-CN"/>
        </w:rPr>
        <w:t xml:space="preserve">  同学们正在</w:t>
      </w:r>
      <w:r>
        <w:rPr>
          <w:rFonts w:hint="eastAsia"/>
          <w:sz w:val="28"/>
          <w:szCs w:val="36"/>
          <w:lang w:eastAsia="zh-CN"/>
        </w:rPr>
        <w:t>制作青团</w:t>
      </w:r>
      <w:r>
        <w:rPr>
          <w:sz w:val="28"/>
          <w:szCs w:val="36"/>
        </w:rPr>
        <w:tab/>
      </w:r>
      <w:r>
        <w:rPr>
          <w:sz w:val="28"/>
          <w:szCs w:val="36"/>
        </w:rPr>
        <w:fldChar w:fldCharType="begin"/>
      </w:r>
      <w:r>
        <w:rPr>
          <w:sz w:val="28"/>
          <w:szCs w:val="36"/>
        </w:rPr>
        <w:instrText xml:space="preserve"> PAGEREF _Toc1162 \h </w:instrText>
      </w:r>
      <w:r>
        <w:rPr>
          <w:sz w:val="28"/>
          <w:szCs w:val="36"/>
        </w:rPr>
        <w:fldChar w:fldCharType="separate"/>
      </w:r>
      <w:r>
        <w:rPr>
          <w:sz w:val="28"/>
          <w:szCs w:val="36"/>
        </w:rPr>
        <w:t>37</w:t>
      </w:r>
      <w:r>
        <w:rPr>
          <w:sz w:val="28"/>
          <w:szCs w:val="36"/>
        </w:rPr>
        <w:fldChar w:fldCharType="end"/>
      </w:r>
      <w:r>
        <w:rPr>
          <w:rFonts w:hint="eastAsia"/>
          <w:sz w:val="28"/>
          <w:szCs w:val="112"/>
          <w:lang w:val="en-US" w:eastAsia="zh-CN"/>
        </w:rPr>
        <w:fldChar w:fldCharType="end"/>
      </w:r>
    </w:p>
    <w:p w14:paraId="4CB5C0F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sz w:val="28"/>
          <w:szCs w:val="112"/>
          <w:lang w:val="en-US" w:eastAsia="zh-CN"/>
        </w:rPr>
        <w:fldChar w:fldCharType="begin"/>
      </w:r>
      <w:r>
        <w:rPr>
          <w:rFonts w:hint="eastAsia"/>
          <w:sz w:val="28"/>
          <w:szCs w:val="112"/>
          <w:lang w:val="en-US" w:eastAsia="zh-CN"/>
        </w:rPr>
        <w:instrText xml:space="preserve"> HYPERLINK \l _Toc20992 </w:instrText>
      </w:r>
      <w:r>
        <w:rPr>
          <w:rFonts w:hint="eastAsia"/>
          <w:sz w:val="28"/>
          <w:szCs w:val="112"/>
          <w:lang w:val="en-US" w:eastAsia="zh-CN"/>
        </w:rPr>
        <w:fldChar w:fldCharType="separate"/>
      </w:r>
      <w:r>
        <w:rPr>
          <w:sz w:val="28"/>
          <w:szCs w:val="36"/>
        </w:rPr>
        <w:t xml:space="preserve">图 16 </w:t>
      </w:r>
      <w:r>
        <w:rPr>
          <w:rFonts w:hint="eastAsia"/>
          <w:sz w:val="28"/>
          <w:szCs w:val="36"/>
          <w:lang w:val="en-US" w:eastAsia="zh-CN"/>
        </w:rPr>
        <w:t xml:space="preserve">  老师在教学生制作香囊</w:t>
      </w:r>
      <w:r>
        <w:rPr>
          <w:sz w:val="28"/>
          <w:szCs w:val="36"/>
        </w:rPr>
        <w:tab/>
      </w:r>
      <w:r>
        <w:rPr>
          <w:sz w:val="28"/>
          <w:szCs w:val="36"/>
        </w:rPr>
        <w:fldChar w:fldCharType="begin"/>
      </w:r>
      <w:r>
        <w:rPr>
          <w:sz w:val="28"/>
          <w:szCs w:val="36"/>
        </w:rPr>
        <w:instrText xml:space="preserve"> PAGEREF _Toc20992 \h </w:instrText>
      </w:r>
      <w:r>
        <w:rPr>
          <w:sz w:val="28"/>
          <w:szCs w:val="36"/>
        </w:rPr>
        <w:fldChar w:fldCharType="separate"/>
      </w:r>
      <w:r>
        <w:rPr>
          <w:sz w:val="28"/>
          <w:szCs w:val="36"/>
        </w:rPr>
        <w:t>38</w:t>
      </w:r>
      <w:r>
        <w:rPr>
          <w:sz w:val="28"/>
          <w:szCs w:val="36"/>
        </w:rPr>
        <w:fldChar w:fldCharType="end"/>
      </w:r>
      <w:r>
        <w:rPr>
          <w:rFonts w:hint="eastAsia"/>
          <w:sz w:val="28"/>
          <w:szCs w:val="112"/>
          <w:lang w:val="en-US" w:eastAsia="zh-CN"/>
        </w:rPr>
        <w:fldChar w:fldCharType="end"/>
      </w:r>
    </w:p>
    <w:p w14:paraId="34E92602">
      <w:pPr>
        <w:pStyle w:val="14"/>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rFonts w:hint="eastAsia"/>
          <w:szCs w:val="60"/>
          <w:lang w:val="en-US" w:eastAsia="zh-CN"/>
        </w:rPr>
        <w:sectPr>
          <w:pgSz w:w="11906" w:h="16838"/>
          <w:pgMar w:top="1440" w:right="1800" w:bottom="1440" w:left="1800" w:header="851" w:footer="992" w:gutter="0"/>
          <w:cols w:space="425" w:num="1"/>
          <w:docGrid w:type="lines" w:linePitch="312" w:charSpace="0"/>
        </w:sectPr>
      </w:pPr>
      <w:r>
        <w:rPr>
          <w:rFonts w:hint="eastAsia"/>
          <w:szCs w:val="60"/>
          <w:lang w:val="en-US" w:eastAsia="zh-CN"/>
        </w:rPr>
        <w:fldChar w:fldCharType="end"/>
      </w:r>
    </w:p>
    <w:p w14:paraId="4142797D">
      <w:pPr>
        <w:pStyle w:val="2"/>
        <w:numPr>
          <w:ilvl w:val="0"/>
          <w:numId w:val="0"/>
        </w:numPr>
        <w:bidi w:val="0"/>
        <w:ind w:left="0" w:leftChars="0" w:firstLine="0" w:firstLineChars="0"/>
        <w:jc w:val="center"/>
        <w:rPr>
          <w:rStyle w:val="23"/>
          <w:rFonts w:hint="default"/>
          <w:b/>
          <w:bCs/>
          <w:lang w:val="en-US" w:eastAsia="zh-CN"/>
        </w:rPr>
      </w:pPr>
      <w:bookmarkStart w:id="3" w:name="_Toc13682"/>
      <w:r>
        <w:rPr>
          <w:rStyle w:val="23"/>
          <w:rFonts w:hint="eastAsia"/>
          <w:b/>
          <w:bCs/>
          <w:lang w:val="en-US" w:eastAsia="zh-CN"/>
        </w:rPr>
        <w:t>表目录</w:t>
      </w:r>
      <w:bookmarkEnd w:id="3"/>
    </w:p>
    <w:p w14:paraId="6F31AA4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Cs w:val="60"/>
          <w:lang w:val="en-US" w:eastAsia="zh-CN"/>
        </w:rPr>
        <w:fldChar w:fldCharType="begin"/>
      </w:r>
      <w:r>
        <w:rPr>
          <w:rFonts w:hint="eastAsia"/>
          <w:szCs w:val="60"/>
          <w:lang w:val="en-US" w:eastAsia="zh-CN"/>
        </w:rPr>
        <w:instrText xml:space="preserve">TOC \h \c "表"</w:instrText>
      </w:r>
      <w:r>
        <w:rPr>
          <w:rFonts w:hint="eastAsia"/>
          <w:szCs w:val="60"/>
          <w:lang w:val="en-US" w:eastAsia="zh-CN"/>
        </w:rPr>
        <w:fldChar w:fldCharType="separate"/>
      </w:r>
      <w:r>
        <w:rPr>
          <w:rFonts w:hint="eastAsia"/>
          <w:sz w:val="28"/>
          <w:szCs w:val="112"/>
          <w:lang w:val="en-US" w:eastAsia="zh-CN"/>
        </w:rPr>
        <w:fldChar w:fldCharType="begin"/>
      </w:r>
      <w:r>
        <w:rPr>
          <w:rFonts w:hint="eastAsia"/>
          <w:sz w:val="28"/>
          <w:szCs w:val="112"/>
          <w:lang w:val="en-US" w:eastAsia="zh-CN"/>
        </w:rPr>
        <w:instrText xml:space="preserve"> HYPERLINK \l _Toc30131 </w:instrText>
      </w:r>
      <w:r>
        <w:rPr>
          <w:rFonts w:hint="eastAsia"/>
          <w:sz w:val="28"/>
          <w:szCs w:val="112"/>
          <w:lang w:val="en-US" w:eastAsia="zh-CN"/>
        </w:rPr>
        <w:fldChar w:fldCharType="separate"/>
      </w:r>
      <w:r>
        <w:rPr>
          <w:sz w:val="28"/>
          <w:szCs w:val="36"/>
        </w:rPr>
        <w:t xml:space="preserve">表 1 </w:t>
      </w:r>
      <w:r>
        <w:rPr>
          <w:rFonts w:hint="eastAsia"/>
          <w:sz w:val="28"/>
          <w:szCs w:val="36"/>
          <w:lang w:eastAsia="zh-CN"/>
        </w:rPr>
        <w:t xml:space="preserve">  六安天河职业中专学校在校生规模一览表</w:t>
      </w:r>
      <w:r>
        <w:rPr>
          <w:sz w:val="28"/>
          <w:szCs w:val="36"/>
        </w:rPr>
        <w:tab/>
      </w:r>
      <w:r>
        <w:rPr>
          <w:sz w:val="28"/>
          <w:szCs w:val="36"/>
        </w:rPr>
        <w:fldChar w:fldCharType="begin"/>
      </w:r>
      <w:r>
        <w:rPr>
          <w:sz w:val="28"/>
          <w:szCs w:val="36"/>
        </w:rPr>
        <w:instrText xml:space="preserve"> PAGEREF _Toc30131 \h </w:instrText>
      </w:r>
      <w:r>
        <w:rPr>
          <w:sz w:val="28"/>
          <w:szCs w:val="36"/>
        </w:rPr>
        <w:fldChar w:fldCharType="separate"/>
      </w:r>
      <w:r>
        <w:rPr>
          <w:sz w:val="28"/>
          <w:szCs w:val="36"/>
        </w:rPr>
        <w:t>9</w:t>
      </w:r>
      <w:r>
        <w:rPr>
          <w:sz w:val="28"/>
          <w:szCs w:val="36"/>
        </w:rPr>
        <w:fldChar w:fldCharType="end"/>
      </w:r>
      <w:r>
        <w:rPr>
          <w:rFonts w:hint="eastAsia"/>
          <w:sz w:val="28"/>
          <w:szCs w:val="112"/>
          <w:lang w:val="en-US" w:eastAsia="zh-CN"/>
        </w:rPr>
        <w:fldChar w:fldCharType="end"/>
      </w:r>
    </w:p>
    <w:p w14:paraId="2B01A02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_Toc10042 </w:instrText>
      </w:r>
      <w:r>
        <w:rPr>
          <w:rFonts w:hint="eastAsia"/>
          <w:sz w:val="28"/>
          <w:szCs w:val="112"/>
          <w:lang w:val="en-US" w:eastAsia="zh-CN"/>
        </w:rPr>
        <w:fldChar w:fldCharType="separate"/>
      </w:r>
      <w:r>
        <w:rPr>
          <w:sz w:val="28"/>
          <w:szCs w:val="36"/>
        </w:rPr>
        <w:t xml:space="preserve">表 2 </w:t>
      </w:r>
      <w:r>
        <w:rPr>
          <w:rFonts w:hint="eastAsia"/>
          <w:sz w:val="28"/>
          <w:szCs w:val="36"/>
          <w:lang w:eastAsia="zh-CN"/>
        </w:rPr>
        <w:t xml:space="preserve">  六安天河职业中专学校学生分专业情况一览表</w:t>
      </w:r>
      <w:r>
        <w:rPr>
          <w:sz w:val="28"/>
          <w:szCs w:val="36"/>
        </w:rPr>
        <w:tab/>
      </w:r>
      <w:r>
        <w:rPr>
          <w:sz w:val="28"/>
          <w:szCs w:val="36"/>
        </w:rPr>
        <w:fldChar w:fldCharType="begin"/>
      </w:r>
      <w:r>
        <w:rPr>
          <w:sz w:val="28"/>
          <w:szCs w:val="36"/>
        </w:rPr>
        <w:instrText xml:space="preserve"> PAGEREF _Toc10042 \h </w:instrText>
      </w:r>
      <w:r>
        <w:rPr>
          <w:sz w:val="28"/>
          <w:szCs w:val="36"/>
        </w:rPr>
        <w:fldChar w:fldCharType="separate"/>
      </w:r>
      <w:r>
        <w:rPr>
          <w:sz w:val="28"/>
          <w:szCs w:val="36"/>
        </w:rPr>
        <w:t>10</w:t>
      </w:r>
      <w:r>
        <w:rPr>
          <w:sz w:val="28"/>
          <w:szCs w:val="36"/>
        </w:rPr>
        <w:fldChar w:fldCharType="end"/>
      </w:r>
      <w:r>
        <w:rPr>
          <w:rFonts w:hint="eastAsia"/>
          <w:sz w:val="28"/>
          <w:szCs w:val="112"/>
          <w:lang w:val="en-US" w:eastAsia="zh-CN"/>
        </w:rPr>
        <w:fldChar w:fldCharType="end"/>
      </w:r>
    </w:p>
    <w:p w14:paraId="06B7801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_Toc15079 </w:instrText>
      </w:r>
      <w:r>
        <w:rPr>
          <w:rFonts w:hint="eastAsia"/>
          <w:sz w:val="28"/>
          <w:szCs w:val="112"/>
          <w:lang w:val="en-US" w:eastAsia="zh-CN"/>
        </w:rPr>
        <w:fldChar w:fldCharType="separate"/>
      </w:r>
      <w:r>
        <w:rPr>
          <w:sz w:val="28"/>
          <w:szCs w:val="36"/>
        </w:rPr>
        <w:t xml:space="preserve">表 3 </w:t>
      </w:r>
      <w:r>
        <w:rPr>
          <w:rFonts w:hint="eastAsia"/>
          <w:sz w:val="28"/>
          <w:szCs w:val="36"/>
          <w:lang w:eastAsia="zh-CN"/>
        </w:rPr>
        <w:t xml:space="preserve">  六安天河职业中专学校毕业生情况一览表</w:t>
      </w:r>
      <w:r>
        <w:rPr>
          <w:sz w:val="28"/>
          <w:szCs w:val="36"/>
        </w:rPr>
        <w:tab/>
      </w:r>
      <w:r>
        <w:rPr>
          <w:sz w:val="28"/>
          <w:szCs w:val="36"/>
        </w:rPr>
        <w:fldChar w:fldCharType="begin"/>
      </w:r>
      <w:r>
        <w:rPr>
          <w:sz w:val="28"/>
          <w:szCs w:val="36"/>
        </w:rPr>
        <w:instrText xml:space="preserve"> PAGEREF _Toc15079 \h </w:instrText>
      </w:r>
      <w:r>
        <w:rPr>
          <w:sz w:val="28"/>
          <w:szCs w:val="36"/>
        </w:rPr>
        <w:fldChar w:fldCharType="separate"/>
      </w:r>
      <w:r>
        <w:rPr>
          <w:sz w:val="28"/>
          <w:szCs w:val="36"/>
        </w:rPr>
        <w:t>11</w:t>
      </w:r>
      <w:r>
        <w:rPr>
          <w:sz w:val="28"/>
          <w:szCs w:val="36"/>
        </w:rPr>
        <w:fldChar w:fldCharType="end"/>
      </w:r>
      <w:r>
        <w:rPr>
          <w:rFonts w:hint="eastAsia"/>
          <w:sz w:val="28"/>
          <w:szCs w:val="112"/>
          <w:lang w:val="en-US" w:eastAsia="zh-CN"/>
        </w:rPr>
        <w:fldChar w:fldCharType="end"/>
      </w:r>
    </w:p>
    <w:p w14:paraId="70FD530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_Toc29727 </w:instrText>
      </w:r>
      <w:r>
        <w:rPr>
          <w:rFonts w:hint="eastAsia"/>
          <w:sz w:val="28"/>
          <w:szCs w:val="112"/>
          <w:lang w:val="en-US" w:eastAsia="zh-CN"/>
        </w:rPr>
        <w:fldChar w:fldCharType="separate"/>
      </w:r>
      <w:r>
        <w:rPr>
          <w:sz w:val="28"/>
          <w:szCs w:val="36"/>
        </w:rPr>
        <w:t xml:space="preserve">表 4 </w:t>
      </w:r>
      <w:r>
        <w:rPr>
          <w:rFonts w:hint="eastAsia"/>
          <w:sz w:val="28"/>
          <w:szCs w:val="36"/>
          <w:lang w:eastAsia="zh-CN"/>
        </w:rPr>
        <w:t xml:space="preserve">  六安天河职业中专学校办学条件达标情况一览表</w:t>
      </w:r>
      <w:r>
        <w:rPr>
          <w:sz w:val="28"/>
          <w:szCs w:val="36"/>
        </w:rPr>
        <w:tab/>
      </w:r>
      <w:r>
        <w:rPr>
          <w:sz w:val="28"/>
          <w:szCs w:val="36"/>
        </w:rPr>
        <w:fldChar w:fldCharType="begin"/>
      </w:r>
      <w:r>
        <w:rPr>
          <w:sz w:val="28"/>
          <w:szCs w:val="36"/>
        </w:rPr>
        <w:instrText xml:space="preserve"> PAGEREF _Toc29727 \h </w:instrText>
      </w:r>
      <w:r>
        <w:rPr>
          <w:sz w:val="28"/>
          <w:szCs w:val="36"/>
        </w:rPr>
        <w:fldChar w:fldCharType="separate"/>
      </w:r>
      <w:r>
        <w:rPr>
          <w:sz w:val="28"/>
          <w:szCs w:val="36"/>
        </w:rPr>
        <w:t>14</w:t>
      </w:r>
      <w:r>
        <w:rPr>
          <w:sz w:val="28"/>
          <w:szCs w:val="36"/>
        </w:rPr>
        <w:fldChar w:fldCharType="end"/>
      </w:r>
      <w:r>
        <w:rPr>
          <w:rFonts w:hint="eastAsia"/>
          <w:sz w:val="28"/>
          <w:szCs w:val="112"/>
          <w:lang w:val="en-US" w:eastAsia="zh-CN"/>
        </w:rPr>
        <w:fldChar w:fldCharType="end"/>
      </w:r>
    </w:p>
    <w:p w14:paraId="7FFC398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_Toc22218 </w:instrText>
      </w:r>
      <w:r>
        <w:rPr>
          <w:rFonts w:hint="eastAsia"/>
          <w:sz w:val="28"/>
          <w:szCs w:val="112"/>
          <w:lang w:val="en-US" w:eastAsia="zh-CN"/>
        </w:rPr>
        <w:fldChar w:fldCharType="separate"/>
      </w:r>
      <w:r>
        <w:rPr>
          <w:sz w:val="28"/>
          <w:szCs w:val="36"/>
        </w:rPr>
        <w:t xml:space="preserve">表 5 </w:t>
      </w:r>
      <w:r>
        <w:rPr>
          <w:rFonts w:hint="eastAsia"/>
          <w:sz w:val="28"/>
          <w:szCs w:val="36"/>
          <w:lang w:eastAsia="zh-CN"/>
        </w:rPr>
        <w:t xml:space="preserve">  六安天河职业中专学校教师队伍情况一览表</w:t>
      </w:r>
      <w:r>
        <w:rPr>
          <w:sz w:val="28"/>
          <w:szCs w:val="36"/>
        </w:rPr>
        <w:tab/>
      </w:r>
      <w:r>
        <w:rPr>
          <w:sz w:val="28"/>
          <w:szCs w:val="36"/>
        </w:rPr>
        <w:fldChar w:fldCharType="begin"/>
      </w:r>
      <w:r>
        <w:rPr>
          <w:sz w:val="28"/>
          <w:szCs w:val="36"/>
        </w:rPr>
        <w:instrText xml:space="preserve"> PAGEREF _Toc22218 \h </w:instrText>
      </w:r>
      <w:r>
        <w:rPr>
          <w:sz w:val="28"/>
          <w:szCs w:val="36"/>
        </w:rPr>
        <w:fldChar w:fldCharType="separate"/>
      </w:r>
      <w:r>
        <w:rPr>
          <w:sz w:val="28"/>
          <w:szCs w:val="36"/>
        </w:rPr>
        <w:t>14</w:t>
      </w:r>
      <w:r>
        <w:rPr>
          <w:sz w:val="28"/>
          <w:szCs w:val="36"/>
        </w:rPr>
        <w:fldChar w:fldCharType="end"/>
      </w:r>
      <w:r>
        <w:rPr>
          <w:rFonts w:hint="eastAsia"/>
          <w:sz w:val="28"/>
          <w:szCs w:val="112"/>
          <w:lang w:val="en-US" w:eastAsia="zh-CN"/>
        </w:rPr>
        <w:fldChar w:fldCharType="end"/>
      </w:r>
    </w:p>
    <w:p w14:paraId="3FFE4F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_Toc30355 </w:instrText>
      </w:r>
      <w:r>
        <w:rPr>
          <w:rFonts w:hint="eastAsia"/>
          <w:sz w:val="28"/>
          <w:szCs w:val="112"/>
          <w:lang w:val="en-US" w:eastAsia="zh-CN"/>
        </w:rPr>
        <w:fldChar w:fldCharType="separate"/>
      </w:r>
      <w:r>
        <w:rPr>
          <w:sz w:val="28"/>
          <w:szCs w:val="36"/>
        </w:rPr>
        <w:t xml:space="preserve">表 6 </w:t>
      </w:r>
      <w:r>
        <w:rPr>
          <w:rFonts w:hint="eastAsia"/>
          <w:sz w:val="28"/>
          <w:szCs w:val="36"/>
          <w:lang w:eastAsia="zh-CN"/>
        </w:rPr>
        <w:t xml:space="preserve">  六安天河职业中专学校教师职务等级和学历情况一览表</w:t>
      </w:r>
      <w:r>
        <w:rPr>
          <w:sz w:val="28"/>
          <w:szCs w:val="36"/>
        </w:rPr>
        <w:tab/>
      </w:r>
      <w:r>
        <w:rPr>
          <w:sz w:val="28"/>
          <w:szCs w:val="36"/>
        </w:rPr>
        <w:fldChar w:fldCharType="begin"/>
      </w:r>
      <w:r>
        <w:rPr>
          <w:sz w:val="28"/>
          <w:szCs w:val="36"/>
        </w:rPr>
        <w:instrText xml:space="preserve"> PAGEREF _Toc30355 \h </w:instrText>
      </w:r>
      <w:r>
        <w:rPr>
          <w:sz w:val="28"/>
          <w:szCs w:val="36"/>
        </w:rPr>
        <w:fldChar w:fldCharType="separate"/>
      </w:r>
      <w:r>
        <w:rPr>
          <w:sz w:val="28"/>
          <w:szCs w:val="36"/>
        </w:rPr>
        <w:t>15</w:t>
      </w:r>
      <w:r>
        <w:rPr>
          <w:sz w:val="28"/>
          <w:szCs w:val="36"/>
        </w:rPr>
        <w:fldChar w:fldCharType="end"/>
      </w:r>
      <w:r>
        <w:rPr>
          <w:rFonts w:hint="eastAsia"/>
          <w:sz w:val="28"/>
          <w:szCs w:val="112"/>
          <w:lang w:val="en-US" w:eastAsia="zh-CN"/>
        </w:rPr>
        <w:fldChar w:fldCharType="end"/>
      </w:r>
    </w:p>
    <w:p w14:paraId="3A10E82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_Toc6438 </w:instrText>
      </w:r>
      <w:r>
        <w:rPr>
          <w:rFonts w:hint="eastAsia"/>
          <w:sz w:val="28"/>
          <w:szCs w:val="112"/>
          <w:lang w:val="en-US" w:eastAsia="zh-CN"/>
        </w:rPr>
        <w:fldChar w:fldCharType="separate"/>
      </w:r>
      <w:r>
        <w:rPr>
          <w:sz w:val="28"/>
          <w:szCs w:val="36"/>
        </w:rPr>
        <w:t xml:space="preserve">表 7 </w:t>
      </w:r>
      <w:r>
        <w:rPr>
          <w:rFonts w:hint="eastAsia"/>
          <w:sz w:val="28"/>
          <w:szCs w:val="36"/>
          <w:lang w:eastAsia="zh-CN"/>
        </w:rPr>
        <w:t xml:space="preserve">  六安天河职业中专学校德育师资保障情况一览表</w:t>
      </w:r>
      <w:r>
        <w:rPr>
          <w:sz w:val="28"/>
          <w:szCs w:val="36"/>
        </w:rPr>
        <w:tab/>
      </w:r>
      <w:r>
        <w:rPr>
          <w:sz w:val="28"/>
          <w:szCs w:val="36"/>
        </w:rPr>
        <w:fldChar w:fldCharType="begin"/>
      </w:r>
      <w:r>
        <w:rPr>
          <w:sz w:val="28"/>
          <w:szCs w:val="36"/>
        </w:rPr>
        <w:instrText xml:space="preserve"> PAGEREF _Toc6438 \h </w:instrText>
      </w:r>
      <w:r>
        <w:rPr>
          <w:sz w:val="28"/>
          <w:szCs w:val="36"/>
        </w:rPr>
        <w:fldChar w:fldCharType="separate"/>
      </w:r>
      <w:r>
        <w:rPr>
          <w:sz w:val="28"/>
          <w:szCs w:val="36"/>
        </w:rPr>
        <w:t>26</w:t>
      </w:r>
      <w:r>
        <w:rPr>
          <w:sz w:val="28"/>
          <w:szCs w:val="36"/>
        </w:rPr>
        <w:fldChar w:fldCharType="end"/>
      </w:r>
      <w:r>
        <w:rPr>
          <w:rFonts w:hint="eastAsia"/>
          <w:sz w:val="28"/>
          <w:szCs w:val="112"/>
          <w:lang w:val="en-US" w:eastAsia="zh-CN"/>
        </w:rPr>
        <w:fldChar w:fldCharType="end"/>
      </w:r>
    </w:p>
    <w:p w14:paraId="3735FC2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_Toc2898 </w:instrText>
      </w:r>
      <w:r>
        <w:rPr>
          <w:rFonts w:hint="eastAsia"/>
          <w:sz w:val="28"/>
          <w:szCs w:val="112"/>
          <w:lang w:val="en-US" w:eastAsia="zh-CN"/>
        </w:rPr>
        <w:fldChar w:fldCharType="separate"/>
      </w:r>
      <w:r>
        <w:rPr>
          <w:sz w:val="28"/>
          <w:szCs w:val="36"/>
        </w:rPr>
        <w:t xml:space="preserve">表 8 </w:t>
      </w:r>
      <w:r>
        <w:rPr>
          <w:rFonts w:hint="eastAsia"/>
          <w:sz w:val="28"/>
          <w:szCs w:val="36"/>
          <w:lang w:eastAsia="zh-CN"/>
        </w:rPr>
        <w:t xml:space="preserve">  六安天河职业中专学校在校生满意度调查一览表</w:t>
      </w:r>
      <w:r>
        <w:rPr>
          <w:sz w:val="28"/>
          <w:szCs w:val="36"/>
        </w:rPr>
        <w:tab/>
      </w:r>
      <w:r>
        <w:rPr>
          <w:sz w:val="28"/>
          <w:szCs w:val="36"/>
        </w:rPr>
        <w:fldChar w:fldCharType="begin"/>
      </w:r>
      <w:r>
        <w:rPr>
          <w:sz w:val="28"/>
          <w:szCs w:val="36"/>
        </w:rPr>
        <w:instrText xml:space="preserve"> PAGEREF _Toc2898 \h </w:instrText>
      </w:r>
      <w:r>
        <w:rPr>
          <w:sz w:val="28"/>
          <w:szCs w:val="36"/>
        </w:rPr>
        <w:fldChar w:fldCharType="separate"/>
      </w:r>
      <w:r>
        <w:rPr>
          <w:sz w:val="28"/>
          <w:szCs w:val="36"/>
        </w:rPr>
        <w:t>28</w:t>
      </w:r>
      <w:r>
        <w:rPr>
          <w:sz w:val="28"/>
          <w:szCs w:val="36"/>
        </w:rPr>
        <w:fldChar w:fldCharType="end"/>
      </w:r>
      <w:r>
        <w:rPr>
          <w:rFonts w:hint="eastAsia"/>
          <w:sz w:val="28"/>
          <w:szCs w:val="112"/>
          <w:lang w:val="en-US" w:eastAsia="zh-CN"/>
        </w:rPr>
        <w:fldChar w:fldCharType="end"/>
      </w:r>
    </w:p>
    <w:p w14:paraId="7282D01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36"/>
        </w:rPr>
      </w:pPr>
      <w:r>
        <w:rPr>
          <w:rFonts w:hint="eastAsia"/>
          <w:sz w:val="28"/>
          <w:szCs w:val="112"/>
          <w:lang w:val="en-US" w:eastAsia="zh-CN"/>
        </w:rPr>
        <w:fldChar w:fldCharType="begin"/>
      </w:r>
      <w:r>
        <w:rPr>
          <w:rFonts w:hint="eastAsia"/>
          <w:sz w:val="28"/>
          <w:szCs w:val="112"/>
          <w:lang w:val="en-US" w:eastAsia="zh-CN"/>
        </w:rPr>
        <w:instrText xml:space="preserve"> HYPERLINK \l _Toc18482 </w:instrText>
      </w:r>
      <w:r>
        <w:rPr>
          <w:rFonts w:hint="eastAsia"/>
          <w:sz w:val="28"/>
          <w:szCs w:val="112"/>
          <w:lang w:val="en-US" w:eastAsia="zh-CN"/>
        </w:rPr>
        <w:fldChar w:fldCharType="separate"/>
      </w:r>
      <w:r>
        <w:rPr>
          <w:sz w:val="28"/>
          <w:szCs w:val="36"/>
        </w:rPr>
        <w:t xml:space="preserve">表 9 </w:t>
      </w:r>
      <w:r>
        <w:rPr>
          <w:rFonts w:hint="eastAsia"/>
          <w:sz w:val="28"/>
          <w:szCs w:val="36"/>
          <w:lang w:eastAsia="zh-CN"/>
        </w:rPr>
        <w:t xml:space="preserve">  六安天河职业中专学校人才培养质量记分卡</w:t>
      </w:r>
      <w:r>
        <w:rPr>
          <w:sz w:val="28"/>
          <w:szCs w:val="36"/>
        </w:rPr>
        <w:tab/>
      </w:r>
      <w:r>
        <w:rPr>
          <w:sz w:val="28"/>
          <w:szCs w:val="36"/>
        </w:rPr>
        <w:fldChar w:fldCharType="begin"/>
      </w:r>
      <w:r>
        <w:rPr>
          <w:sz w:val="28"/>
          <w:szCs w:val="36"/>
        </w:rPr>
        <w:instrText xml:space="preserve"> PAGEREF _Toc18482 \h </w:instrText>
      </w:r>
      <w:r>
        <w:rPr>
          <w:sz w:val="28"/>
          <w:szCs w:val="36"/>
        </w:rPr>
        <w:fldChar w:fldCharType="separate"/>
      </w:r>
      <w:r>
        <w:rPr>
          <w:sz w:val="28"/>
          <w:szCs w:val="36"/>
        </w:rPr>
        <w:t>30</w:t>
      </w:r>
      <w:r>
        <w:rPr>
          <w:sz w:val="28"/>
          <w:szCs w:val="36"/>
        </w:rPr>
        <w:fldChar w:fldCharType="end"/>
      </w:r>
      <w:r>
        <w:rPr>
          <w:rFonts w:hint="eastAsia"/>
          <w:sz w:val="28"/>
          <w:szCs w:val="112"/>
          <w:lang w:val="en-US" w:eastAsia="zh-CN"/>
        </w:rPr>
        <w:fldChar w:fldCharType="end"/>
      </w:r>
    </w:p>
    <w:p w14:paraId="2C7B98D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sz w:val="28"/>
          <w:szCs w:val="112"/>
          <w:lang w:val="en-US" w:eastAsia="zh-CN"/>
        </w:rPr>
        <w:fldChar w:fldCharType="begin"/>
      </w:r>
      <w:r>
        <w:rPr>
          <w:rFonts w:hint="eastAsia"/>
          <w:sz w:val="28"/>
          <w:szCs w:val="112"/>
          <w:lang w:val="en-US" w:eastAsia="zh-CN"/>
        </w:rPr>
        <w:instrText xml:space="preserve"> HYPERLINK \l _Toc19163 </w:instrText>
      </w:r>
      <w:r>
        <w:rPr>
          <w:rFonts w:hint="eastAsia"/>
          <w:sz w:val="28"/>
          <w:szCs w:val="112"/>
          <w:lang w:val="en-US" w:eastAsia="zh-CN"/>
        </w:rPr>
        <w:fldChar w:fldCharType="separate"/>
      </w:r>
      <w:r>
        <w:rPr>
          <w:sz w:val="28"/>
          <w:szCs w:val="36"/>
        </w:rPr>
        <w:t xml:space="preserve">表 10 </w:t>
      </w:r>
      <w:r>
        <w:rPr>
          <w:rFonts w:hint="eastAsia"/>
          <w:sz w:val="28"/>
          <w:szCs w:val="36"/>
          <w:lang w:eastAsia="zh-CN"/>
        </w:rPr>
        <w:t xml:space="preserve">  六安天河职业中专学校毕业生收入及满意度调查表</w:t>
      </w:r>
      <w:r>
        <w:rPr>
          <w:sz w:val="28"/>
          <w:szCs w:val="36"/>
        </w:rPr>
        <w:tab/>
      </w:r>
      <w:r>
        <w:rPr>
          <w:sz w:val="28"/>
          <w:szCs w:val="36"/>
        </w:rPr>
        <w:fldChar w:fldCharType="begin"/>
      </w:r>
      <w:r>
        <w:rPr>
          <w:sz w:val="28"/>
          <w:szCs w:val="36"/>
        </w:rPr>
        <w:instrText xml:space="preserve"> PAGEREF _Toc19163 \h </w:instrText>
      </w:r>
      <w:r>
        <w:rPr>
          <w:sz w:val="28"/>
          <w:szCs w:val="36"/>
        </w:rPr>
        <w:fldChar w:fldCharType="separate"/>
      </w:r>
      <w:r>
        <w:rPr>
          <w:sz w:val="28"/>
          <w:szCs w:val="36"/>
        </w:rPr>
        <w:t>31</w:t>
      </w:r>
      <w:r>
        <w:rPr>
          <w:sz w:val="28"/>
          <w:szCs w:val="36"/>
        </w:rPr>
        <w:fldChar w:fldCharType="end"/>
      </w:r>
      <w:r>
        <w:rPr>
          <w:rFonts w:hint="eastAsia"/>
          <w:sz w:val="28"/>
          <w:szCs w:val="112"/>
          <w:lang w:val="en-US" w:eastAsia="zh-CN"/>
        </w:rPr>
        <w:fldChar w:fldCharType="end"/>
      </w:r>
    </w:p>
    <w:p w14:paraId="6E54DD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Cs w:val="60"/>
          <w:lang w:val="en-US" w:eastAsia="zh-CN"/>
        </w:rPr>
        <w:sectPr>
          <w:pgSz w:w="11906" w:h="16838"/>
          <w:pgMar w:top="1440" w:right="1800" w:bottom="1440" w:left="1800" w:header="851" w:footer="992" w:gutter="0"/>
          <w:cols w:space="425" w:num="1"/>
          <w:docGrid w:type="lines" w:linePitch="312" w:charSpace="0"/>
        </w:sectPr>
      </w:pPr>
      <w:r>
        <w:rPr>
          <w:rFonts w:hint="eastAsia"/>
          <w:szCs w:val="60"/>
          <w:lang w:val="en-US" w:eastAsia="zh-CN"/>
        </w:rPr>
        <w:fldChar w:fldCharType="end"/>
      </w:r>
    </w:p>
    <w:p w14:paraId="18D9F992">
      <w:pPr>
        <w:pStyle w:val="2"/>
        <w:numPr>
          <w:ilvl w:val="0"/>
          <w:numId w:val="0"/>
        </w:numPr>
        <w:bidi w:val="0"/>
        <w:ind w:left="0" w:leftChars="0" w:firstLine="0" w:firstLineChars="0"/>
        <w:jc w:val="center"/>
        <w:rPr>
          <w:rFonts w:hint="eastAsia"/>
          <w:lang w:val="en-US" w:eastAsia="zh-CN"/>
        </w:rPr>
      </w:pPr>
      <w:bookmarkStart w:id="4" w:name="_Toc3634"/>
      <w:r>
        <w:rPr>
          <w:rFonts w:hint="eastAsia"/>
          <w:lang w:val="en-US" w:eastAsia="zh-CN"/>
        </w:rPr>
        <w:t>案例目录</w:t>
      </w:r>
      <w:bookmarkEnd w:id="4"/>
    </w:p>
    <w:p w14:paraId="58F0B7D1">
      <w:pPr>
        <w:pStyle w:val="15"/>
        <w:tabs>
          <w:tab w:val="right" w:leader="dot" w:pos="8306"/>
        </w:tabs>
        <w:rPr>
          <w:sz w:val="28"/>
          <w:szCs w:val="28"/>
        </w:rPr>
      </w:pPr>
      <w:r>
        <w:rPr>
          <w:rFonts w:hint="eastAsia" w:asciiTheme="minorHAnsi" w:hAnsiTheme="minorHAnsi" w:eastAsiaTheme="minorEastAsia" w:cstheme="minorBidi"/>
          <w:kern w:val="2"/>
          <w:sz w:val="60"/>
          <w:szCs w:val="60"/>
          <w:lang w:val="en-US" w:eastAsia="zh-CN" w:bidi="ar-SA"/>
        </w:rPr>
        <w:fldChar w:fldCharType="begin"/>
      </w:r>
      <w:r>
        <w:rPr>
          <w:rFonts w:hint="eastAsia" w:asciiTheme="minorHAnsi" w:hAnsiTheme="minorHAnsi" w:eastAsiaTheme="minorEastAsia" w:cstheme="minorBidi"/>
          <w:kern w:val="2"/>
          <w:sz w:val="60"/>
          <w:szCs w:val="60"/>
          <w:lang w:val="en-US" w:eastAsia="zh-CN" w:bidi="ar-SA"/>
        </w:rPr>
        <w:instrText xml:space="preserve">TOC \h \c "案例"</w:instrText>
      </w:r>
      <w:r>
        <w:rPr>
          <w:rFonts w:hint="eastAsia" w:asciiTheme="minorHAnsi" w:hAnsiTheme="minorHAnsi" w:eastAsiaTheme="minorEastAsia" w:cstheme="minorBidi"/>
          <w:kern w:val="2"/>
          <w:sz w:val="60"/>
          <w:szCs w:val="60"/>
          <w:lang w:val="en-US" w:eastAsia="zh-CN" w:bidi="ar-SA"/>
        </w:rPr>
        <w:fldChar w:fldCharType="separate"/>
      </w: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\l _Toc2221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华文楷体" w:hAnsi="华文楷体" w:eastAsia="华文楷体" w:cs="华文楷体"/>
          <w:bCs/>
          <w:sz w:val="28"/>
          <w:szCs w:val="28"/>
        </w:rPr>
        <w:t xml:space="preserve">案例 </w:t>
      </w:r>
      <w:r>
        <w:rPr>
          <w:sz w:val="28"/>
          <w:szCs w:val="28"/>
        </w:rPr>
        <w:t xml:space="preserve">1 </w:t>
      </w:r>
      <w:r>
        <w:rPr>
          <w:rFonts w:hint="eastAsia" w:ascii="华文楷体" w:hAnsi="华文楷体" w:eastAsia="华文楷体" w:cs="华文楷体"/>
          <w:bCs/>
          <w:sz w:val="28"/>
          <w:szCs w:val="28"/>
          <w:lang w:eastAsia="zh-CN"/>
        </w:rPr>
        <w:t xml:space="preserve">  </w:t>
      </w:r>
      <w:r>
        <w:rPr>
          <w:rFonts w:hint="eastAsia" w:ascii="华文楷体" w:hAnsi="华文楷体" w:eastAsia="华文楷体" w:cs="华文楷体"/>
          <w:bCs/>
          <w:kern w:val="2"/>
          <w:sz w:val="28"/>
          <w:szCs w:val="28"/>
          <w:lang w:val="en-US" w:eastAsia="zh-CN" w:bidi="ar-SA"/>
        </w:rPr>
        <w:t>产教融合赋能老区振兴，沪皖协作谱写职教新篇</w:t>
      </w:r>
      <w:r>
        <w:rPr>
          <w:sz w:val="28"/>
          <w:szCs w:val="28"/>
        </w:rPr>
        <w:tab/>
      </w:r>
      <w:r>
        <w:rPr>
          <w:sz w:val="28"/>
          <w:szCs w:val="28"/>
        </w:rPr>
        <w:fldChar w:fldCharType="begin"/>
      </w:r>
      <w:r>
        <w:rPr>
          <w:sz w:val="28"/>
          <w:szCs w:val="28"/>
        </w:rPr>
        <w:instrText xml:space="preserve"> PAGEREF _Toc2221 \h </w:instrText>
      </w:r>
      <w:r>
        <w:rPr>
          <w:sz w:val="28"/>
          <w:szCs w:val="28"/>
        </w:rPr>
        <w:fldChar w:fldCharType="separate"/>
      </w:r>
      <w:r>
        <w:rPr>
          <w:sz w:val="28"/>
          <w:szCs w:val="28"/>
        </w:rPr>
        <w:t>12</w:t>
      </w:r>
      <w:r>
        <w:rPr>
          <w:sz w:val="28"/>
          <w:szCs w:val="28"/>
        </w:rPr>
        <w:fldChar w:fldCharType="end"/>
      </w:r>
      <w:r>
        <w:rPr>
          <w:rFonts w:hint="eastAsia" w:asciiTheme="minorHAnsi" w:hAnsiTheme="minorHAnsi" w:eastAsiaTheme="minorEastAsia" w:cstheme="minorBidi"/>
          <w:kern w:val="2"/>
          <w:sz w:val="28"/>
          <w:szCs w:val="28"/>
          <w:lang w:val="en-US" w:eastAsia="zh-CN" w:bidi="ar-SA"/>
        </w:rPr>
        <w:fldChar w:fldCharType="end"/>
      </w:r>
    </w:p>
    <w:p w14:paraId="5DC8A38F">
      <w:pPr>
        <w:pStyle w:val="15"/>
        <w:tabs>
          <w:tab w:val="right" w:leader="dot" w:pos="8306"/>
        </w:tabs>
        <w:rPr>
          <w:sz w:val="28"/>
          <w:szCs w:val="28"/>
        </w:rPr>
      </w:pP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\l _Toc4594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华文楷体" w:hAnsi="华文楷体" w:eastAsia="华文楷体" w:cs="华文楷体"/>
          <w:bCs/>
          <w:sz w:val="28"/>
          <w:szCs w:val="28"/>
        </w:rPr>
        <w:t xml:space="preserve">案例 </w:t>
      </w:r>
      <w:r>
        <w:rPr>
          <w:sz w:val="28"/>
          <w:szCs w:val="28"/>
        </w:rPr>
        <w:t xml:space="preserve">2 </w:t>
      </w:r>
      <w:r>
        <w:rPr>
          <w:rFonts w:hint="eastAsia" w:ascii="华文楷体" w:hAnsi="华文楷体" w:eastAsia="华文楷体" w:cs="华文楷体"/>
          <w:bCs/>
          <w:sz w:val="28"/>
          <w:szCs w:val="28"/>
          <w:lang w:eastAsia="zh-CN"/>
        </w:rPr>
        <w:t xml:space="preserve">  </w:t>
      </w:r>
      <w:r>
        <w:rPr>
          <w:rFonts w:hint="eastAsia" w:ascii="华文楷体" w:hAnsi="华文楷体" w:eastAsia="华文楷体" w:cs="华文楷体"/>
          <w:bCs/>
          <w:kern w:val="2"/>
          <w:sz w:val="28"/>
          <w:szCs w:val="28"/>
          <w:lang w:val="en-US" w:eastAsia="zh-CN" w:bidi="ar-SA"/>
        </w:rPr>
        <w:t>匠心融艺育桃李 妙笔生花夺桂冠</w:t>
      </w:r>
      <w:r>
        <w:rPr>
          <w:sz w:val="28"/>
          <w:szCs w:val="28"/>
        </w:rPr>
        <w:tab/>
      </w:r>
      <w:r>
        <w:rPr>
          <w:sz w:val="28"/>
          <w:szCs w:val="28"/>
        </w:rPr>
        <w:fldChar w:fldCharType="begin"/>
      </w:r>
      <w:r>
        <w:rPr>
          <w:sz w:val="28"/>
          <w:szCs w:val="28"/>
        </w:rPr>
        <w:instrText xml:space="preserve"> PAGEREF _Toc4594 \h </w:instrText>
      </w:r>
      <w:r>
        <w:rPr>
          <w:sz w:val="28"/>
          <w:szCs w:val="28"/>
        </w:rPr>
        <w:fldChar w:fldCharType="separate"/>
      </w:r>
      <w:r>
        <w:rPr>
          <w:sz w:val="28"/>
          <w:szCs w:val="28"/>
        </w:rPr>
        <w:t>17</w:t>
      </w:r>
      <w:r>
        <w:rPr>
          <w:sz w:val="28"/>
          <w:szCs w:val="28"/>
        </w:rPr>
        <w:fldChar w:fldCharType="end"/>
      </w:r>
      <w:r>
        <w:rPr>
          <w:rFonts w:hint="eastAsia" w:asciiTheme="minorHAnsi" w:hAnsiTheme="minorHAnsi" w:eastAsiaTheme="minorEastAsia" w:cstheme="minorBidi"/>
          <w:kern w:val="2"/>
          <w:sz w:val="28"/>
          <w:szCs w:val="28"/>
          <w:lang w:val="en-US" w:eastAsia="zh-CN" w:bidi="ar-SA"/>
        </w:rPr>
        <w:fldChar w:fldCharType="end"/>
      </w:r>
    </w:p>
    <w:p w14:paraId="0D2DD8BA">
      <w:pPr>
        <w:pStyle w:val="15"/>
        <w:tabs>
          <w:tab w:val="right" w:leader="dot" w:pos="8306"/>
        </w:tabs>
        <w:rPr>
          <w:rFonts w:hint="default"/>
          <w:sz w:val="28"/>
          <w:szCs w:val="28"/>
          <w:lang w:val="en-US"/>
        </w:rPr>
      </w:pP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\l _Toc27149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华文楷体" w:hAnsi="华文楷体" w:eastAsia="华文楷体" w:cs="华文楷体"/>
          <w:bCs/>
          <w:sz w:val="28"/>
          <w:szCs w:val="28"/>
        </w:rPr>
        <w:t xml:space="preserve">案例 </w:t>
      </w:r>
      <w:r>
        <w:rPr>
          <w:sz w:val="28"/>
          <w:szCs w:val="28"/>
        </w:rPr>
        <w:t xml:space="preserve">3 </w:t>
      </w:r>
      <w:r>
        <w:rPr>
          <w:rFonts w:hint="eastAsia" w:ascii="华文楷体" w:hAnsi="华文楷体" w:eastAsia="华文楷体" w:cs="华文楷体"/>
          <w:bCs/>
          <w:sz w:val="28"/>
          <w:szCs w:val="28"/>
          <w:lang w:eastAsia="zh-CN"/>
        </w:rPr>
        <w:t xml:space="preserve">  </w:t>
      </w:r>
      <w:r>
        <w:rPr>
          <w:rFonts w:hint="eastAsia" w:ascii="华文楷体" w:hAnsi="华文楷体" w:eastAsia="华文楷体" w:cs="华文楷体"/>
          <w:bCs/>
          <w:kern w:val="2"/>
          <w:sz w:val="28"/>
          <w:szCs w:val="28"/>
          <w:lang w:val="en-US" w:eastAsia="zh-CN" w:bidi="ar-SA"/>
        </w:rPr>
        <w:t>十八而立，扬帆逐梦</w:t>
      </w:r>
      <w:r>
        <w:rPr>
          <w:sz w:val="28"/>
          <w:szCs w:val="28"/>
        </w:rPr>
        <w:tab/>
      </w:r>
      <w:r>
        <w:rPr>
          <w:rFonts w:hint="eastAsia"/>
          <w:sz w:val="28"/>
          <w:szCs w:val="28"/>
          <w:lang w:val="en-US" w:eastAsia="zh-CN"/>
        </w:rPr>
        <w:t>2</w:t>
      </w:r>
      <w:r>
        <w:rPr>
          <w:rFonts w:hint="eastAsia" w:asciiTheme="minorHAnsi" w:hAnsiTheme="minorHAnsi" w:eastAsiaTheme="minorEastAsia" w:cstheme="minorBidi"/>
          <w:kern w:val="2"/>
          <w:sz w:val="28"/>
          <w:szCs w:val="28"/>
          <w:lang w:val="en-US" w:eastAsia="zh-CN" w:bidi="ar-SA"/>
        </w:rPr>
        <w:fldChar w:fldCharType="end"/>
      </w:r>
      <w:r>
        <w:rPr>
          <w:rFonts w:hint="eastAsia" w:cstheme="minorBidi"/>
          <w:kern w:val="2"/>
          <w:sz w:val="28"/>
          <w:szCs w:val="28"/>
          <w:lang w:val="en-US" w:eastAsia="zh-CN" w:bidi="ar-SA"/>
        </w:rPr>
        <w:t>4</w:t>
      </w:r>
    </w:p>
    <w:p w14:paraId="749EA7F3">
      <w:pPr>
        <w:pStyle w:val="15"/>
        <w:tabs>
          <w:tab w:val="right" w:leader="dot" w:pos="8306"/>
        </w:tabs>
        <w:rPr>
          <w:rFonts w:hint="default"/>
          <w:sz w:val="28"/>
          <w:szCs w:val="28"/>
          <w:lang w:val="en-US"/>
        </w:rPr>
      </w:pP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\l _Toc10691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华文楷体" w:hAnsi="华文楷体" w:eastAsia="华文楷体" w:cs="华文楷体"/>
          <w:bCs/>
          <w:sz w:val="28"/>
          <w:szCs w:val="28"/>
        </w:rPr>
        <w:t xml:space="preserve">案例 </w:t>
      </w:r>
      <w:r>
        <w:rPr>
          <w:sz w:val="28"/>
          <w:szCs w:val="28"/>
        </w:rPr>
        <w:t xml:space="preserve">4 </w:t>
      </w:r>
      <w:r>
        <w:rPr>
          <w:rFonts w:hint="eastAsia" w:ascii="华文楷体" w:hAnsi="华文楷体" w:eastAsia="华文楷体" w:cs="华文楷体"/>
          <w:bCs/>
          <w:sz w:val="28"/>
          <w:szCs w:val="28"/>
          <w:lang w:eastAsia="zh-CN"/>
        </w:rPr>
        <w:t xml:space="preserve">  </w:t>
      </w:r>
      <w:r>
        <w:rPr>
          <w:rFonts w:hint="eastAsia" w:ascii="华文楷体" w:hAnsi="华文楷体" w:eastAsia="华文楷体" w:cs="华文楷体"/>
          <w:bCs/>
          <w:kern w:val="2"/>
          <w:sz w:val="28"/>
          <w:szCs w:val="28"/>
          <w:lang w:val="en-US" w:eastAsia="zh-CN" w:bidi="ar-SA"/>
        </w:rPr>
        <w:t>缅怀革命先烈 传承红色血脉</w:t>
      </w:r>
      <w:r>
        <w:rPr>
          <w:sz w:val="28"/>
          <w:szCs w:val="28"/>
        </w:rPr>
        <w:tab/>
      </w:r>
      <w:r>
        <w:rPr>
          <w:rFonts w:hint="eastAsia"/>
          <w:sz w:val="28"/>
          <w:szCs w:val="28"/>
          <w:lang w:val="en-US" w:eastAsia="zh-CN"/>
        </w:rPr>
        <w:t>3</w:t>
      </w:r>
      <w:r>
        <w:rPr>
          <w:rFonts w:hint="eastAsia" w:asciiTheme="minorHAnsi" w:hAnsiTheme="minorHAnsi" w:eastAsiaTheme="minorEastAsia" w:cstheme="minorBidi"/>
          <w:kern w:val="2"/>
          <w:sz w:val="28"/>
          <w:szCs w:val="28"/>
          <w:lang w:val="en-US" w:eastAsia="zh-CN" w:bidi="ar-SA"/>
        </w:rPr>
        <w:fldChar w:fldCharType="end"/>
      </w:r>
      <w:r>
        <w:rPr>
          <w:rFonts w:hint="eastAsia" w:cstheme="minorBidi"/>
          <w:kern w:val="2"/>
          <w:sz w:val="28"/>
          <w:szCs w:val="28"/>
          <w:lang w:val="en-US" w:eastAsia="zh-CN" w:bidi="ar-SA"/>
        </w:rPr>
        <w:t>5</w:t>
      </w:r>
    </w:p>
    <w:p w14:paraId="5C67A6FB">
      <w:pPr>
        <w:pStyle w:val="15"/>
        <w:tabs>
          <w:tab w:val="right" w:leader="dot" w:pos="8306"/>
        </w:tabs>
        <w:rPr>
          <w:sz w:val="28"/>
          <w:szCs w:val="28"/>
        </w:rPr>
      </w:pP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\l _Toc9323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华文楷体" w:hAnsi="华文楷体" w:eastAsia="华文楷体" w:cs="华文楷体"/>
          <w:bCs/>
          <w:sz w:val="28"/>
          <w:szCs w:val="28"/>
        </w:rPr>
        <w:t xml:space="preserve">案例 </w:t>
      </w:r>
      <w:r>
        <w:rPr>
          <w:sz w:val="28"/>
          <w:szCs w:val="28"/>
        </w:rPr>
        <w:t xml:space="preserve">5 </w:t>
      </w:r>
      <w:r>
        <w:rPr>
          <w:rFonts w:hint="eastAsia" w:ascii="华文楷体" w:hAnsi="华文楷体" w:eastAsia="华文楷体" w:cs="华文楷体"/>
          <w:bCs/>
          <w:sz w:val="28"/>
          <w:szCs w:val="28"/>
          <w:lang w:eastAsia="zh-CN"/>
        </w:rPr>
        <w:t xml:space="preserve">  </w:t>
      </w:r>
      <w:r>
        <w:rPr>
          <w:rFonts w:hint="eastAsia" w:ascii="华文楷体" w:hAnsi="华文楷体" w:eastAsia="华文楷体" w:cs="华文楷体"/>
          <w:bCs/>
          <w:kern w:val="2"/>
          <w:sz w:val="28"/>
          <w:szCs w:val="28"/>
          <w:lang w:val="en-US" w:eastAsia="zh-CN" w:bidi="ar-SA"/>
        </w:rPr>
        <w:t>弘扬传统文化，赓续民族血脉</w:t>
      </w:r>
      <w:r>
        <w:rPr>
          <w:sz w:val="28"/>
          <w:szCs w:val="28"/>
        </w:rPr>
        <w:tab/>
      </w:r>
      <w:r>
        <w:rPr>
          <w:sz w:val="28"/>
          <w:szCs w:val="28"/>
        </w:rPr>
        <w:fldChar w:fldCharType="begin"/>
      </w:r>
      <w:r>
        <w:rPr>
          <w:sz w:val="28"/>
          <w:szCs w:val="28"/>
        </w:rPr>
        <w:instrText xml:space="preserve"> PAGEREF _Toc9323 \h </w:instrText>
      </w:r>
      <w:r>
        <w:rPr>
          <w:sz w:val="28"/>
          <w:szCs w:val="28"/>
        </w:rPr>
        <w:fldChar w:fldCharType="separate"/>
      </w:r>
      <w:r>
        <w:rPr>
          <w:sz w:val="28"/>
          <w:szCs w:val="28"/>
        </w:rPr>
        <w:t>35</w:t>
      </w:r>
      <w:r>
        <w:rPr>
          <w:sz w:val="28"/>
          <w:szCs w:val="28"/>
        </w:rPr>
        <w:fldChar w:fldCharType="end"/>
      </w:r>
      <w:r>
        <w:rPr>
          <w:rFonts w:hint="eastAsia" w:asciiTheme="minorHAnsi" w:hAnsiTheme="minorHAnsi" w:eastAsiaTheme="minorEastAsia" w:cstheme="minorBidi"/>
          <w:kern w:val="2"/>
          <w:sz w:val="28"/>
          <w:szCs w:val="28"/>
          <w:lang w:val="en-US" w:eastAsia="zh-CN" w:bidi="ar-SA"/>
        </w:rPr>
        <w:fldChar w:fldCharType="end"/>
      </w:r>
    </w:p>
    <w:p w14:paraId="49CD96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60"/>
          <w:szCs w:val="60"/>
          <w:lang w:val="en-US" w:eastAsia="zh-CN" w:bidi="ar-SA"/>
        </w:rPr>
      </w:pPr>
      <w:r>
        <w:rPr>
          <w:rFonts w:hint="eastAsia" w:asciiTheme="minorHAnsi" w:hAnsiTheme="minorHAnsi" w:eastAsiaTheme="minorEastAsia" w:cstheme="minorBidi"/>
          <w:kern w:val="2"/>
          <w:szCs w:val="60"/>
          <w:lang w:val="en-US" w:eastAsia="zh-CN" w:bidi="ar-SA"/>
        </w:rPr>
        <w:fldChar w:fldCharType="end"/>
      </w:r>
    </w:p>
    <w:p w14:paraId="6162AD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HAnsi" w:hAnsiTheme="minorHAnsi" w:eastAsiaTheme="minorEastAsia" w:cstheme="minorBidi"/>
          <w:kern w:val="2"/>
          <w:sz w:val="60"/>
          <w:szCs w:val="60"/>
          <w:lang w:val="en-US" w:eastAsia="zh-CN" w:bidi="ar-SA"/>
        </w:rPr>
        <w:sectPr>
          <w:pgSz w:w="11906" w:h="16838"/>
          <w:pgMar w:top="1440" w:right="1800" w:bottom="1440" w:left="1800" w:header="851" w:footer="992" w:gutter="0"/>
          <w:cols w:space="425" w:num="1"/>
          <w:docGrid w:type="lines" w:linePitch="312" w:charSpace="0"/>
        </w:sectPr>
      </w:pPr>
    </w:p>
    <w:p w14:paraId="7140C059">
      <w:pPr>
        <w:pStyle w:val="2"/>
        <w:numPr>
          <w:ilvl w:val="0"/>
          <w:numId w:val="0"/>
        </w:numPr>
        <w:bidi w:val="0"/>
        <w:ind w:left="0" w:leftChars="0" w:firstLine="0" w:firstLineChars="0"/>
        <w:jc w:val="center"/>
        <w:rPr>
          <w:rFonts w:hint="eastAsia"/>
          <w:lang w:val="en-US" w:eastAsia="zh-CN"/>
        </w:rPr>
      </w:pPr>
      <w:bookmarkStart w:id="5" w:name="_Toc14900"/>
      <w:r>
        <w:rPr>
          <w:rFonts w:hint="eastAsia"/>
          <w:lang w:val="en-US" w:eastAsia="zh-CN"/>
        </w:rPr>
        <w:t>前言</w:t>
      </w:r>
      <w:bookmarkEnd w:id="0"/>
      <w:bookmarkEnd w:id="1"/>
      <w:bookmarkEnd w:id="5"/>
    </w:p>
    <w:p w14:paraId="0922D95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中等职业教育质量年度报告是推进职业教育质量评价改革的关键抓手，是职业教育履行时代使命、树立科学质量观、展示发展成就、接受社会监督的重要载体，更是职业学校深化内涵建设、持续诊断改进、全面提升人才培养质量的核心举措。</w:t>
      </w:r>
    </w:p>
    <w:p w14:paraId="6E35509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EastAsia" w:hAnsiTheme="minorEastAsia" w:eastAsiaTheme="minorEastAsia" w:cstheme="minorEastAsia"/>
          <w:kern w:val="2"/>
          <w:sz w:val="28"/>
          <w:szCs w:val="28"/>
          <w:lang w:val="en-US" w:eastAsia="zh-CN" w:bidi="ar-SA"/>
        </w:rPr>
        <w:t>六安天河职业中专学校高度重视质量年报编制工作，将其作为总结办学成果、反思发展路径、规划未来方向的重要契机。在报告编制过程中，学校组建专项工作组，深入开展调研，全面收集数据，系统梳理改革发展的思路、成果、经验与特色，并严格依照《安徽省教育厅关于做好中等职业教育质量报告（2025年度）编制、发布和报送工作的通知》要求，精益求精，力求内容真实、准确、全面，充分展现学校办学实力与发展潜力。</w:t>
      </w:r>
    </w:p>
    <w:p w14:paraId="6B53350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EastAsia" w:hAnsiTheme="minorEastAsia" w:eastAsiaTheme="minorEastAsia" w:cstheme="minorEastAsia"/>
          <w:kern w:val="2"/>
          <w:sz w:val="28"/>
          <w:szCs w:val="28"/>
          <w:lang w:val="en-US" w:eastAsia="zh-CN" w:bidi="ar-SA"/>
        </w:rPr>
        <w:t>本报告围绕基本情况、文化传承、产教融合、人才培养、服务贡献、发展保障及挑战与展望</w:t>
      </w:r>
      <w:r>
        <w:rPr>
          <w:rFonts w:hint="eastAsia" w:asciiTheme="minorEastAsia" w:hAnsiTheme="minorEastAsia" w:cstheme="minorEastAsia"/>
          <w:kern w:val="2"/>
          <w:sz w:val="28"/>
          <w:szCs w:val="28"/>
          <w:lang w:val="en-US" w:eastAsia="zh-CN" w:bidi="ar-SA"/>
        </w:rPr>
        <w:t>等七</w:t>
      </w:r>
      <w:r>
        <w:rPr>
          <w:rFonts w:hint="eastAsia" w:asciiTheme="minorEastAsia" w:hAnsiTheme="minorEastAsia" w:eastAsiaTheme="minorEastAsia" w:cstheme="minorEastAsia"/>
          <w:kern w:val="2"/>
          <w:sz w:val="28"/>
          <w:szCs w:val="28"/>
          <w:lang w:val="en-US" w:eastAsia="zh-CN" w:bidi="ar-SA"/>
        </w:rPr>
        <w:t>个维度，对学校2025年度工作进行全方位、深层次剖析，重点呈现学校在人才培养与文化传承领域的创新举措及显著成效，以期为职业教育高质量发展提供有益参考。</w:t>
      </w:r>
    </w:p>
    <w:p w14:paraId="72534B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4FA655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6C5DF6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527865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6342F6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138F51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3AF65E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11E4C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bookmarkStart w:id="145" w:name="_GoBack"/>
      <w:bookmarkEnd w:id="145"/>
    </w:p>
    <w:p w14:paraId="429683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p>
    <w:p w14:paraId="25B3EE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48"/>
          <w:szCs w:val="56"/>
          <w:lang w:val="en-US" w:eastAsia="zh-CN"/>
        </w:rPr>
      </w:pPr>
      <w:r>
        <w:rPr>
          <w:rFonts w:hint="eastAsia" w:asciiTheme="majorEastAsia" w:hAnsiTheme="majorEastAsia" w:eastAsiaTheme="majorEastAsia" w:cstheme="majorEastAsia"/>
          <w:b/>
          <w:bCs/>
          <w:sz w:val="48"/>
          <w:szCs w:val="56"/>
          <w:lang w:val="en-US" w:eastAsia="zh-CN"/>
        </w:rPr>
        <w:t>六安天河职业中专学校教育质量年报</w:t>
      </w:r>
    </w:p>
    <w:p w14:paraId="5B0D49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bCs/>
          <w:sz w:val="48"/>
          <w:szCs w:val="56"/>
          <w:lang w:val="en-US" w:eastAsia="zh-CN"/>
        </w:rPr>
      </w:pPr>
      <w:r>
        <w:rPr>
          <w:rFonts w:hint="eastAsia" w:asciiTheme="majorEastAsia" w:hAnsiTheme="majorEastAsia" w:eastAsiaTheme="majorEastAsia" w:cstheme="majorEastAsia"/>
          <w:b/>
          <w:bCs/>
          <w:sz w:val="48"/>
          <w:szCs w:val="56"/>
          <w:lang w:val="en-US" w:eastAsia="zh-CN"/>
        </w:rPr>
        <w:t>（2025年）</w:t>
      </w:r>
    </w:p>
    <w:p w14:paraId="4E6F86B9">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6" w:name="_Toc10310"/>
      <w:bookmarkStart w:id="7" w:name="_Toc14363"/>
      <w:bookmarkStart w:id="8" w:name="_Toc8254"/>
      <w:r>
        <w:rPr>
          <w:rFonts w:hint="eastAsia" w:ascii="黑体" w:hAnsi="黑体" w:eastAsia="黑体" w:cs="黑体"/>
          <w:sz w:val="32"/>
          <w:szCs w:val="32"/>
          <w:lang w:val="en-US" w:eastAsia="zh-CN"/>
        </w:rPr>
        <w:t>1.基本情况</w:t>
      </w:r>
      <w:bookmarkEnd w:id="6"/>
      <w:bookmarkEnd w:id="7"/>
      <w:bookmarkEnd w:id="8"/>
    </w:p>
    <w:p w14:paraId="098A0D4E">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9" w:name="_Toc3264"/>
      <w:bookmarkStart w:id="10" w:name="_Toc10821"/>
      <w:bookmarkStart w:id="11" w:name="_Toc2707"/>
      <w:r>
        <w:rPr>
          <w:rFonts w:hint="eastAsia" w:ascii="黑体" w:hAnsi="黑体" w:eastAsia="黑体" w:cs="黑体"/>
          <w:lang w:val="en-US" w:eastAsia="zh-CN"/>
        </w:rPr>
        <w:t>1.1规模结构</w:t>
      </w:r>
      <w:bookmarkEnd w:id="9"/>
      <w:bookmarkEnd w:id="10"/>
      <w:bookmarkEnd w:id="11"/>
    </w:p>
    <w:p w14:paraId="2210E833">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1.1.1学校概况</w:t>
      </w:r>
    </w:p>
    <w:p w14:paraId="570E763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lang w:val="en-US" w:eastAsia="zh-CN"/>
        </w:rPr>
        <w:t>六安天河职业中专学校</w:t>
      </w:r>
      <w:r>
        <w:rPr>
          <w:rFonts w:hint="eastAsia" w:asciiTheme="minorEastAsia" w:hAnsiTheme="minorEastAsia" w:cstheme="minorEastAsia"/>
          <w:sz w:val="28"/>
          <w:szCs w:val="36"/>
          <w:lang w:val="en-US" w:eastAsia="zh-CN"/>
        </w:rPr>
        <w:t>隶属上海交大教育集团合作共建学校</w:t>
      </w:r>
      <w:r>
        <w:rPr>
          <w:rFonts w:hint="eastAsia" w:asciiTheme="minorEastAsia" w:hAnsiTheme="minorEastAsia" w:cstheme="minorEastAsia"/>
          <w:sz w:val="28"/>
          <w:szCs w:val="36"/>
          <w:lang w:eastAsia="zh-CN"/>
        </w:rPr>
        <w:t>，</w:t>
      </w:r>
      <w:r>
        <w:rPr>
          <w:rFonts w:hint="eastAsia" w:asciiTheme="minorEastAsia" w:hAnsiTheme="minorEastAsia" w:eastAsiaTheme="minorEastAsia" w:cstheme="minorEastAsia"/>
          <w:sz w:val="28"/>
          <w:szCs w:val="36"/>
          <w:lang w:val="en-US" w:eastAsia="zh-CN"/>
        </w:rPr>
        <w:t>是</w:t>
      </w:r>
      <w:r>
        <w:rPr>
          <w:rFonts w:hint="eastAsia" w:asciiTheme="minorEastAsia" w:hAnsiTheme="minorEastAsia" w:eastAsiaTheme="minorEastAsia" w:cstheme="minorEastAsia"/>
          <w:sz w:val="28"/>
          <w:szCs w:val="36"/>
        </w:rPr>
        <w:t>从事学历教育与职业培训为一体的综合性学校</w:t>
      </w:r>
      <w:r>
        <w:rPr>
          <w:rFonts w:hint="eastAsia" w:asciiTheme="minorEastAsia" w:hAnsiTheme="minorEastAsia" w:cstheme="minorEastAsia"/>
          <w:sz w:val="28"/>
          <w:szCs w:val="36"/>
          <w:lang w:eastAsia="zh-CN"/>
        </w:rPr>
        <w:t>。</w:t>
      </w:r>
      <w:r>
        <w:rPr>
          <w:rFonts w:hint="eastAsia" w:asciiTheme="minorEastAsia" w:hAnsiTheme="minorEastAsia" w:eastAsiaTheme="minorEastAsia" w:cstheme="minorEastAsia"/>
          <w:sz w:val="28"/>
          <w:szCs w:val="36"/>
        </w:rPr>
        <w:t>学校坐落于六安市清溪路170号。</w:t>
      </w:r>
      <w:r>
        <w:rPr>
          <w:rFonts w:hint="eastAsia" w:asciiTheme="minorEastAsia" w:hAnsiTheme="minorEastAsia" w:eastAsiaTheme="minorEastAsia" w:cstheme="minorEastAsia"/>
          <w:sz w:val="28"/>
          <w:szCs w:val="36"/>
          <w:lang w:val="en-US" w:eastAsia="zh-CN"/>
        </w:rPr>
        <w:t>2023年9月，学校主体搬迁至天河新校区。</w:t>
      </w:r>
      <w:r>
        <w:rPr>
          <w:rFonts w:hint="eastAsia" w:asciiTheme="minorEastAsia" w:hAnsiTheme="minorEastAsia" w:eastAsiaTheme="minorEastAsia" w:cstheme="minorEastAsia"/>
          <w:sz w:val="28"/>
          <w:szCs w:val="36"/>
        </w:rPr>
        <w:t>新校区占地面积2</w:t>
      </w:r>
      <w:r>
        <w:rPr>
          <w:rFonts w:hint="eastAsia" w:asciiTheme="minorEastAsia" w:hAnsiTheme="minorEastAsia" w:cstheme="minorEastAsia"/>
          <w:sz w:val="28"/>
          <w:szCs w:val="36"/>
          <w:lang w:val="en-US" w:eastAsia="zh-CN"/>
        </w:rPr>
        <w:t>0</w:t>
      </w:r>
      <w:r>
        <w:rPr>
          <w:rFonts w:hint="eastAsia" w:asciiTheme="minorEastAsia" w:hAnsiTheme="minorEastAsia" w:eastAsiaTheme="minorEastAsia" w:cstheme="minorEastAsia"/>
          <w:sz w:val="28"/>
          <w:szCs w:val="36"/>
        </w:rPr>
        <w:t>6589平方米，总建筑面积达208223平方米。学校建有产教融合基地、实习实训基地、艺术技能实训中心、图书馆、体育馆、食堂、学生公寓、学术交流中心等高标准设施。</w:t>
      </w:r>
    </w:p>
    <w:p w14:paraId="7485B40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sz w:val="28"/>
          <w:szCs w:val="36"/>
          <w:lang w:eastAsia="zh-CN"/>
        </w:rPr>
      </w:pPr>
      <w:r>
        <w:rPr>
          <w:rFonts w:hint="eastAsia" w:asciiTheme="minorEastAsia" w:hAnsiTheme="minorEastAsia" w:eastAsiaTheme="minorEastAsia" w:cstheme="minorEastAsia"/>
          <w:sz w:val="28"/>
          <w:szCs w:val="36"/>
          <w:lang w:eastAsia="zh-CN"/>
        </w:rPr>
        <w:drawing>
          <wp:inline distT="0" distB="0" distL="114300" distR="114300">
            <wp:extent cx="5158105" cy="3116580"/>
            <wp:effectExtent l="0" t="0" r="4445" b="7620"/>
            <wp:docPr id="14" name="图片 14" descr="d324fe8efe5d0a9ee5573fefd7fa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24fe8efe5d0a9ee5573fefd7fa944"/>
                    <pic:cNvPicPr>
                      <a:picLocks noChangeAspect="1"/>
                    </pic:cNvPicPr>
                  </pic:nvPicPr>
                  <pic:blipFill>
                    <a:blip r:embed="rId7"/>
                    <a:stretch>
                      <a:fillRect/>
                    </a:stretch>
                  </pic:blipFill>
                  <pic:spPr>
                    <a:xfrm>
                      <a:off x="0" y="0"/>
                      <a:ext cx="5158105" cy="3116580"/>
                    </a:xfrm>
                    <a:prstGeom prst="rect">
                      <a:avLst/>
                    </a:prstGeom>
                  </pic:spPr>
                </pic:pic>
              </a:graphicData>
            </a:graphic>
          </wp:inline>
        </w:drawing>
      </w:r>
    </w:p>
    <w:p w14:paraId="712D12B3">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eastAsia="黑体" w:asciiTheme="minorEastAsia" w:hAnsiTheme="minorEastAsia" w:cstheme="minorEastAsia"/>
          <w:sz w:val="28"/>
          <w:szCs w:val="36"/>
          <w:lang w:val="en-US" w:eastAsia="zh-CN"/>
        </w:rPr>
      </w:pPr>
      <w:r>
        <w:t xml:space="preserve">图 </w:t>
      </w:r>
      <w:r>
        <w:fldChar w:fldCharType="begin"/>
      </w:r>
      <w:r>
        <w:instrText xml:space="preserve"> SEQ 图 \* ARABIC </w:instrText>
      </w:r>
      <w:r>
        <w:fldChar w:fldCharType="separate"/>
      </w:r>
      <w:r>
        <w:t>1</w:t>
      </w:r>
      <w:r>
        <w:fldChar w:fldCharType="end"/>
      </w:r>
      <w:bookmarkStart w:id="12" w:name="_Toc14971"/>
      <w:r>
        <w:rPr>
          <w:rFonts w:hint="eastAsia"/>
          <w:lang w:val="en-US" w:eastAsia="zh-CN"/>
        </w:rPr>
        <w:t xml:space="preserve">  学校鸟瞰图</w:t>
      </w:r>
      <w:bookmarkEnd w:id="12"/>
    </w:p>
    <w:p w14:paraId="3CB3988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eastAsiaTheme="minorEastAsia" w:cstheme="minorEastAsia"/>
          <w:sz w:val="28"/>
          <w:szCs w:val="36"/>
          <w:lang w:val="en-US" w:eastAsia="zh-CN"/>
        </w:rPr>
      </w:pPr>
      <w:r>
        <w:rPr>
          <w:rFonts w:hint="eastAsia" w:asciiTheme="minorEastAsia" w:hAnsiTheme="minorEastAsia" w:cstheme="minorEastAsia"/>
          <w:sz w:val="28"/>
          <w:szCs w:val="36"/>
          <w:lang w:val="en-US" w:eastAsia="zh-CN"/>
        </w:rPr>
        <w:t>学校现有全日制在校生5989人，教职工505人，其中专任教师308人。学校主要开设计算机应用、市场营销、播音与主持、绘画、音乐表演、运动训练、新能源汽车制造与检测、康养休闲旅游服务等8个专业，共有114个教学班。</w:t>
      </w:r>
    </w:p>
    <w:p w14:paraId="4297DC4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drawing>
          <wp:inline distT="0" distB="0" distL="114300" distR="114300">
            <wp:extent cx="5142865" cy="3319780"/>
            <wp:effectExtent l="0" t="0" r="635" b="13970"/>
            <wp:docPr id="13" name="图片 13" descr="cf163510187fbdaa17bbb390b8f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163510187fbdaa17bbb390b8f5294"/>
                    <pic:cNvPicPr>
                      <a:picLocks noChangeAspect="1"/>
                    </pic:cNvPicPr>
                  </pic:nvPicPr>
                  <pic:blipFill>
                    <a:blip r:embed="rId8"/>
                    <a:stretch>
                      <a:fillRect/>
                    </a:stretch>
                  </pic:blipFill>
                  <pic:spPr>
                    <a:xfrm>
                      <a:off x="0" y="0"/>
                      <a:ext cx="5142865" cy="3319780"/>
                    </a:xfrm>
                    <a:prstGeom prst="rect">
                      <a:avLst/>
                    </a:prstGeom>
                  </pic:spPr>
                </pic:pic>
              </a:graphicData>
            </a:graphic>
          </wp:inline>
        </w:drawing>
      </w:r>
    </w:p>
    <w:p w14:paraId="347779F3">
      <w:pPr>
        <w:pStyle w:val="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黑体" w:asciiTheme="minorEastAsia" w:hAnsiTheme="minorEastAsia"/>
          <w:sz w:val="28"/>
          <w:szCs w:val="28"/>
          <w:lang w:val="en-US" w:eastAsia="zh-CN"/>
        </w:rPr>
      </w:pPr>
      <w:r>
        <w:t xml:space="preserve">图 </w:t>
      </w:r>
      <w:r>
        <w:fldChar w:fldCharType="begin"/>
      </w:r>
      <w:r>
        <w:instrText xml:space="preserve"> SEQ 图 \* ARABIC </w:instrText>
      </w:r>
      <w:r>
        <w:fldChar w:fldCharType="separate"/>
      </w:r>
      <w:r>
        <w:t>2</w:t>
      </w:r>
      <w:r>
        <w:fldChar w:fldCharType="end"/>
      </w:r>
      <w:bookmarkStart w:id="13" w:name="_Toc5355"/>
      <w:r>
        <w:rPr>
          <w:rFonts w:hint="eastAsia"/>
          <w:lang w:val="en-US" w:eastAsia="zh-CN"/>
        </w:rPr>
        <w:t xml:space="preserve">  产教融合基地教学楼</w:t>
      </w:r>
      <w:bookmarkEnd w:id="13"/>
    </w:p>
    <w:p w14:paraId="66CBEA5B">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1.1.2学生情况</w:t>
      </w:r>
    </w:p>
    <w:p w14:paraId="4F1A828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Theme="minorEastAsia" w:hAnsiTheme="minorEastAsia"/>
          <w:sz w:val="28"/>
          <w:szCs w:val="28"/>
          <w:lang w:val="en-US" w:eastAsia="zh-CN"/>
        </w:rPr>
      </w:pPr>
      <w:r>
        <w:rPr>
          <w:rFonts w:hint="eastAsia" w:asciiTheme="minorEastAsia" w:hAnsiTheme="minorEastAsia"/>
          <w:sz w:val="28"/>
          <w:szCs w:val="28"/>
          <w:lang w:val="en-US" w:eastAsia="zh-CN"/>
        </w:rPr>
        <w:t>截至2025年秋学期，在校生规模5989人，较上一年减少748人。其中25级1353人；24级2009人，较上一年增加95人；23级2627人，较上一年减少468人。（见表1）受高中扩招政策影响，近两年招生规模呈下降趋势，学校将通过优化专业结构、强化内涵建设，提升人才培养质量，增强职业教育吸引力。</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07"/>
        <w:gridCol w:w="1407"/>
        <w:gridCol w:w="1408"/>
        <w:gridCol w:w="1408"/>
        <w:gridCol w:w="1408"/>
      </w:tblGrid>
      <w:tr w14:paraId="127D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407"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6D434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学年度</w:t>
            </w:r>
          </w:p>
        </w:tc>
        <w:tc>
          <w:tcPr>
            <w:tcW w:w="1407"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4CBF24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2022级</w:t>
            </w:r>
          </w:p>
        </w:tc>
        <w:tc>
          <w:tcPr>
            <w:tcW w:w="1407"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040AF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2023级</w:t>
            </w:r>
          </w:p>
        </w:tc>
        <w:tc>
          <w:tcPr>
            <w:tcW w:w="1408" w:type="dxa"/>
            <w:tcBorders>
              <w:top w:val="single" w:color="4874CB" w:themeColor="accent1" w:sz="6" w:space="0"/>
              <w:left w:val="nil"/>
              <w:bottom w:val="single" w:color="C8D5EF" w:themeColor="accent1" w:themeTint="4C" w:sz="6" w:space="0"/>
              <w:right w:val="nil"/>
            </w:tcBorders>
            <w:shd w:val="clear" w:color="auto" w:fill="FFFFFF"/>
            <w:vAlign w:val="center"/>
          </w:tcPr>
          <w:p w14:paraId="06790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2024级</w:t>
            </w:r>
          </w:p>
        </w:tc>
        <w:tc>
          <w:tcPr>
            <w:tcW w:w="1408"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6CD8A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2025级</w:t>
            </w:r>
          </w:p>
        </w:tc>
        <w:tc>
          <w:tcPr>
            <w:tcW w:w="1408"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365F05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在校生</w:t>
            </w:r>
          </w:p>
          <w:p w14:paraId="144BE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总数</w:t>
            </w:r>
          </w:p>
        </w:tc>
      </w:tr>
      <w:tr w14:paraId="6EC1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407"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145FA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2024年度</w:t>
            </w:r>
          </w:p>
        </w:tc>
        <w:tc>
          <w:tcPr>
            <w:tcW w:w="140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556BB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1728</w:t>
            </w:r>
          </w:p>
        </w:tc>
        <w:tc>
          <w:tcPr>
            <w:tcW w:w="1407"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7BD97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3095</w:t>
            </w:r>
          </w:p>
        </w:tc>
        <w:tc>
          <w:tcPr>
            <w:tcW w:w="1408"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1CBF5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1914</w:t>
            </w:r>
          </w:p>
        </w:tc>
        <w:tc>
          <w:tcPr>
            <w:tcW w:w="1408"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A22A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p>
        </w:tc>
        <w:tc>
          <w:tcPr>
            <w:tcW w:w="1408"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4CD5ED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6737</w:t>
            </w:r>
          </w:p>
        </w:tc>
      </w:tr>
      <w:tr w14:paraId="152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407"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40E96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2025年度</w:t>
            </w:r>
          </w:p>
        </w:tc>
        <w:tc>
          <w:tcPr>
            <w:tcW w:w="1407"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2FDA0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p>
        </w:tc>
        <w:tc>
          <w:tcPr>
            <w:tcW w:w="1407"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7D04B9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2627</w:t>
            </w:r>
          </w:p>
        </w:tc>
        <w:tc>
          <w:tcPr>
            <w:tcW w:w="1408" w:type="dxa"/>
            <w:tcBorders>
              <w:top w:val="single" w:color="C8D5EF" w:themeColor="accent1" w:themeTint="4C" w:sz="6" w:space="0"/>
              <w:left w:val="nil"/>
              <w:bottom w:val="single" w:color="4874CB" w:themeColor="accent1" w:sz="6" w:space="0"/>
              <w:right w:val="nil"/>
            </w:tcBorders>
            <w:shd w:val="clear" w:color="auto" w:fill="FFFFFF"/>
            <w:vAlign w:val="center"/>
          </w:tcPr>
          <w:p w14:paraId="02B49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2009</w:t>
            </w:r>
          </w:p>
        </w:tc>
        <w:tc>
          <w:tcPr>
            <w:tcW w:w="1408"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171AA2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1353</w:t>
            </w:r>
          </w:p>
        </w:tc>
        <w:tc>
          <w:tcPr>
            <w:tcW w:w="1408"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79294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5989</w:t>
            </w:r>
          </w:p>
        </w:tc>
      </w:tr>
    </w:tbl>
    <w:p w14:paraId="6B6AA4E5">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表 </w:t>
      </w:r>
      <w:r>
        <w:fldChar w:fldCharType="begin"/>
      </w:r>
      <w:r>
        <w:instrText xml:space="preserve"> SEQ 表 \* ARABIC </w:instrText>
      </w:r>
      <w:r>
        <w:fldChar w:fldCharType="separate"/>
      </w:r>
      <w:r>
        <w:t>1</w:t>
      </w:r>
      <w:r>
        <w:fldChar w:fldCharType="end"/>
      </w:r>
      <w:bookmarkStart w:id="14" w:name="_Toc30131"/>
      <w:r>
        <w:rPr>
          <w:rFonts w:hint="eastAsia"/>
          <w:lang w:eastAsia="zh-CN"/>
        </w:rPr>
        <w:t xml:space="preserve">  六安天河职业中专学校在校生规模一览表</w:t>
      </w:r>
      <w:bookmarkEnd w:id="14"/>
      <w:r>
        <w:rPr>
          <w:rFonts w:hint="eastAsia"/>
          <w:lang w:eastAsia="zh-CN"/>
        </w:rPr>
        <w:t>（</w:t>
      </w:r>
      <w:r>
        <w:rPr>
          <w:rFonts w:hint="eastAsia"/>
          <w:lang w:val="en-US" w:eastAsia="zh-CN"/>
        </w:rPr>
        <w:t>数据来源：教育统计管理信息系统）</w:t>
      </w:r>
    </w:p>
    <w:p w14:paraId="0BCBF0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Theme="minorEastAsia" w:hAnsiTheme="minorEastAsia"/>
          <w:sz w:val="28"/>
          <w:szCs w:val="28"/>
          <w:lang w:val="en-US" w:eastAsia="zh-CN"/>
        </w:rPr>
      </w:pPr>
      <w:r>
        <w:rPr>
          <w:rFonts w:hint="eastAsia" w:asciiTheme="minorEastAsia" w:hAnsiTheme="minorEastAsia"/>
          <w:sz w:val="28"/>
          <w:szCs w:val="28"/>
          <w:lang w:val="en-US" w:eastAsia="zh-CN"/>
        </w:rPr>
        <w:t>2025年秋学期，各专业招生及在校生情况如下：计算机应用专业招生213人，在校生424人；市场营销专业招生30人，在校生139人；播音与主持专业招生167人，在校生677人；绘画专业招生447人，在校生2252人；音乐表演专业招生248人，在校生1345人；运动训练专业招生176人，在校生895人；新能源汽车制造与检测专业招生38人，在校生135人；康养休闲旅游服务专业招生34人，在校生122人。（见表2）</w:t>
      </w:r>
    </w:p>
    <w:p w14:paraId="7AC68D2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eastAsiaTheme="minorEastAsia"/>
          <w:lang w:eastAsia="zh-CN"/>
        </w:rPr>
      </w:pPr>
      <w:r>
        <w:rPr>
          <w:rFonts w:hint="eastAsia" w:ascii="宋体" w:hAnsi="宋体" w:eastAsia="宋体" w:cs="Times New Roman"/>
          <w:kern w:val="2"/>
          <w:sz w:val="28"/>
          <w:szCs w:val="28"/>
          <w:lang w:eastAsia="zh-CN" w:bidi="ar-SA"/>
        </w:rPr>
        <w:t>其中，计算机应用与市场营销作为传统专业，就业市场竞争激烈，招生人数保持稳定；播音与主持等文化艺术类专业和运动训练专业，因升学途径宽广、就业竞争力较强，成为重点招生方向；新能源汽车制造与检测以及康养休闲旅游服务专业，作为地区支柱型产业与新兴产业相关专业，正通过探索逐步扩大招生规模。</w:t>
      </w:r>
      <w:r>
        <w:rPr>
          <w:rFonts w:hint="eastAsia" w:asciiTheme="minorEastAsia" w:hAnsiTheme="minorEastAsia"/>
          <w:sz w:val="28"/>
          <w:szCs w:val="28"/>
          <w:lang w:val="en-US" w:eastAsia="zh-CN"/>
        </w:rPr>
        <w:t>各专业招生人数及在校生规模的变化增长，体现了六安天河职业中专学校对多元化教育需求的积极响应。</w:t>
      </w:r>
    </w:p>
    <w:tbl>
      <w:tblPr>
        <w:tblStyle w:val="19"/>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735"/>
        <w:gridCol w:w="1735"/>
        <w:gridCol w:w="1735"/>
        <w:gridCol w:w="1736"/>
      </w:tblGrid>
      <w:tr w14:paraId="4A16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9" w:hRule="atLeast"/>
        </w:trPr>
        <w:tc>
          <w:tcPr>
            <w:tcW w:w="1735"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06E5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专业名称</w:t>
            </w:r>
          </w:p>
        </w:tc>
        <w:tc>
          <w:tcPr>
            <w:tcW w:w="1735"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29FD3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2024年</w:t>
            </w:r>
          </w:p>
          <w:p w14:paraId="3EEA4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招生数</w:t>
            </w:r>
          </w:p>
        </w:tc>
        <w:tc>
          <w:tcPr>
            <w:tcW w:w="1735"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7F5167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2025年</w:t>
            </w:r>
          </w:p>
          <w:p w14:paraId="0D177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招生数</w:t>
            </w:r>
          </w:p>
        </w:tc>
        <w:tc>
          <w:tcPr>
            <w:tcW w:w="1735" w:type="dxa"/>
            <w:tcBorders>
              <w:top w:val="single" w:color="4874CB" w:themeColor="accent1" w:sz="6" w:space="0"/>
              <w:left w:val="nil"/>
              <w:bottom w:val="single" w:color="C8D5EF" w:themeColor="accent1" w:themeTint="4C" w:sz="6" w:space="0"/>
              <w:right w:val="nil"/>
            </w:tcBorders>
            <w:shd w:val="clear" w:color="auto" w:fill="FFFFFF"/>
            <w:vAlign w:val="center"/>
          </w:tcPr>
          <w:p w14:paraId="00B1BF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2024年</w:t>
            </w:r>
          </w:p>
          <w:p w14:paraId="73447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在校生数</w:t>
            </w:r>
          </w:p>
        </w:tc>
        <w:tc>
          <w:tcPr>
            <w:tcW w:w="1736"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EC90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2024年</w:t>
            </w:r>
          </w:p>
          <w:p w14:paraId="55274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在校生数</w:t>
            </w:r>
          </w:p>
        </w:tc>
      </w:tr>
      <w:tr w14:paraId="6356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37289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计算机应用</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557B7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122</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E636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default" w:asciiTheme="minorEastAsia" w:hAnsiTheme="minorEastAsia"/>
                <w:b w:val="0"/>
                <w:i w:val="0"/>
                <w:color w:val="000000"/>
                <w:sz w:val="24"/>
                <w:szCs w:val="24"/>
                <w:vertAlign w:val="baseline"/>
                <w:lang w:val="en-US" w:eastAsia="zh-CN"/>
              </w:rPr>
              <w:t>213</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7E6527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332</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245BC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424</w:t>
            </w:r>
          </w:p>
        </w:tc>
      </w:tr>
      <w:tr w14:paraId="3712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478DC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lang w:val="en-US" w:eastAsia="zh-CN"/>
              </w:rPr>
              <w:t>市场营销</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4A8BF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63</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92CD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default" w:asciiTheme="minorEastAsia" w:hAnsiTheme="minorEastAsia"/>
                <w:b w:val="0"/>
                <w:i w:val="0"/>
                <w:color w:val="000000"/>
                <w:sz w:val="24"/>
                <w:szCs w:val="24"/>
                <w:vertAlign w:val="baseline"/>
                <w:lang w:val="en-US" w:eastAsia="zh-CN"/>
              </w:rPr>
              <w:t>30</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464A5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166</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2DBE7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139</w:t>
            </w:r>
          </w:p>
        </w:tc>
      </w:tr>
      <w:tr w14:paraId="75E0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BC1E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lang w:val="en-US" w:eastAsia="zh-CN"/>
              </w:rPr>
              <w:t>播音与主持</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C621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243</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2BFD7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167</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702827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755</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FE6EB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677</w:t>
            </w:r>
          </w:p>
        </w:tc>
      </w:tr>
      <w:tr w14:paraId="799B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E115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lang w:val="en-US" w:eastAsia="zh-CN"/>
              </w:rPr>
              <w:t>绘画</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2527E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547</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ED79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447</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65DA61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2731</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0D2DA5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2252</w:t>
            </w:r>
          </w:p>
        </w:tc>
      </w:tr>
      <w:tr w14:paraId="7E1F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8122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lang w:val="en-US" w:eastAsia="zh-CN"/>
              </w:rPr>
              <w:t>音乐表演</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746B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484</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8A893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248</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39ECD7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1474</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37E912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1345</w:t>
            </w:r>
          </w:p>
        </w:tc>
      </w:tr>
      <w:tr w14:paraId="3248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79A2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lang w:val="en-US" w:eastAsia="zh-CN"/>
              </w:rPr>
              <w:t>运动训练</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291F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333</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3A76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176</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0EEB91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1079</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72BED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895</w:t>
            </w:r>
          </w:p>
        </w:tc>
      </w:tr>
      <w:tr w14:paraId="5D66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2C91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lang w:val="en-US" w:eastAsia="zh-CN"/>
              </w:rPr>
            </w:pPr>
            <w:r>
              <w:rPr>
                <w:rFonts w:hint="eastAsia" w:asciiTheme="minorEastAsia" w:hAnsiTheme="minorEastAsia"/>
                <w:b/>
                <w:i w:val="0"/>
                <w:color w:val="FFFFFF"/>
                <w:sz w:val="24"/>
                <w:szCs w:val="24"/>
                <w:lang w:val="en-US" w:eastAsia="zh-CN"/>
              </w:rPr>
              <w:t>新能源汽车制造与检测</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3B482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58</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7B6AB6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lang w:val="en-US" w:eastAsia="zh-CN"/>
              </w:rPr>
              <w:t>38</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3CFDB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97</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180D1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lang w:val="en-US" w:eastAsia="zh-CN"/>
              </w:rPr>
              <w:t>135</w:t>
            </w:r>
          </w:p>
        </w:tc>
      </w:tr>
      <w:tr w14:paraId="25CE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35"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973B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i w:val="0"/>
                <w:color w:val="FFFFFF"/>
                <w:sz w:val="24"/>
                <w:szCs w:val="24"/>
                <w:lang w:val="en-US" w:eastAsia="zh-CN"/>
              </w:rPr>
            </w:pPr>
            <w:r>
              <w:rPr>
                <w:rFonts w:hint="eastAsia" w:asciiTheme="minorEastAsia" w:hAnsiTheme="minorEastAsia"/>
                <w:b/>
                <w:i w:val="0"/>
                <w:color w:val="FFFFFF"/>
                <w:sz w:val="24"/>
                <w:szCs w:val="24"/>
                <w:lang w:val="en-US" w:eastAsia="zh-CN"/>
              </w:rPr>
              <w:t>康养休闲旅游服务</w:t>
            </w:r>
          </w:p>
        </w:tc>
        <w:tc>
          <w:tcPr>
            <w:tcW w:w="173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20BE3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64</w:t>
            </w:r>
          </w:p>
        </w:tc>
        <w:tc>
          <w:tcPr>
            <w:tcW w:w="173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25B62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lang w:val="en-US" w:eastAsia="zh-CN"/>
              </w:rPr>
              <w:t>34</w:t>
            </w:r>
          </w:p>
        </w:tc>
        <w:tc>
          <w:tcPr>
            <w:tcW w:w="1735"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0A95E8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103</w:t>
            </w:r>
          </w:p>
        </w:tc>
        <w:tc>
          <w:tcPr>
            <w:tcW w:w="1736"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37483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lang w:val="en-US" w:eastAsia="zh-CN"/>
              </w:rPr>
              <w:t>122</w:t>
            </w:r>
          </w:p>
        </w:tc>
      </w:tr>
      <w:tr w14:paraId="12F8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735"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35D4A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lang w:val="en-US" w:eastAsia="zh-CN"/>
              </w:rPr>
            </w:pPr>
            <w:r>
              <w:rPr>
                <w:rFonts w:hint="eastAsia" w:asciiTheme="minorEastAsia" w:hAnsiTheme="minorEastAsia"/>
                <w:b/>
                <w:i w:val="0"/>
                <w:color w:val="FFFFFF"/>
                <w:sz w:val="24"/>
                <w:szCs w:val="24"/>
                <w:lang w:val="en-US" w:eastAsia="zh-CN"/>
              </w:rPr>
              <w:t>总计</w:t>
            </w:r>
          </w:p>
        </w:tc>
        <w:tc>
          <w:tcPr>
            <w:tcW w:w="1735"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7D146E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1914</w:t>
            </w:r>
          </w:p>
        </w:tc>
        <w:tc>
          <w:tcPr>
            <w:tcW w:w="1735"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4138D5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vertAlign w:val="baseline"/>
                <w:lang w:val="en-US" w:eastAsia="zh-CN"/>
              </w:rPr>
              <w:t>1353</w:t>
            </w:r>
          </w:p>
        </w:tc>
        <w:tc>
          <w:tcPr>
            <w:tcW w:w="1735" w:type="dxa"/>
            <w:tcBorders>
              <w:top w:val="single" w:color="C8D5EF" w:themeColor="accent1" w:themeTint="4C" w:sz="6" w:space="0"/>
              <w:left w:val="nil"/>
              <w:bottom w:val="single" w:color="4874CB" w:themeColor="accent1" w:sz="6" w:space="0"/>
              <w:right w:val="nil"/>
            </w:tcBorders>
            <w:shd w:val="clear" w:color="auto" w:fill="FFFFFF"/>
            <w:vAlign w:val="center"/>
          </w:tcPr>
          <w:p w14:paraId="3AB29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lang w:val="en-US" w:eastAsia="zh-CN"/>
              </w:rPr>
              <w:t>6737</w:t>
            </w:r>
          </w:p>
        </w:tc>
        <w:tc>
          <w:tcPr>
            <w:tcW w:w="1736"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798380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lang w:val="en-US" w:eastAsia="zh-CN"/>
              </w:rPr>
            </w:pPr>
            <w:r>
              <w:rPr>
                <w:rFonts w:hint="eastAsia" w:asciiTheme="minorEastAsia" w:hAnsiTheme="minorEastAsia"/>
                <w:b w:val="0"/>
                <w:i w:val="0"/>
                <w:color w:val="000000"/>
                <w:sz w:val="24"/>
                <w:szCs w:val="24"/>
                <w:vertAlign w:val="baseline"/>
                <w:lang w:val="en-US" w:eastAsia="zh-CN"/>
              </w:rPr>
              <w:t>5989</w:t>
            </w:r>
          </w:p>
        </w:tc>
      </w:tr>
    </w:tbl>
    <w:p w14:paraId="5AA282F6">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t xml:space="preserve">表 </w:t>
      </w:r>
      <w:r>
        <w:fldChar w:fldCharType="begin"/>
      </w:r>
      <w:r>
        <w:instrText xml:space="preserve"> SEQ 表 \* ARABIC </w:instrText>
      </w:r>
      <w:r>
        <w:fldChar w:fldCharType="separate"/>
      </w:r>
      <w:r>
        <w:t>2</w:t>
      </w:r>
      <w:r>
        <w:fldChar w:fldCharType="end"/>
      </w:r>
      <w:bookmarkStart w:id="15" w:name="_Toc10042"/>
      <w:r>
        <w:rPr>
          <w:rFonts w:hint="eastAsia"/>
          <w:lang w:eastAsia="zh-CN"/>
        </w:rPr>
        <w:t xml:space="preserve">  六安天河职业中专学校学生分专业情况一览表</w:t>
      </w:r>
      <w:bookmarkEnd w:id="15"/>
      <w:r>
        <w:rPr>
          <w:rFonts w:hint="eastAsia"/>
          <w:lang w:eastAsia="zh-CN"/>
        </w:rPr>
        <w:t>（</w:t>
      </w:r>
      <w:r>
        <w:rPr>
          <w:rFonts w:hint="eastAsia"/>
          <w:lang w:val="en-US" w:eastAsia="zh-CN"/>
        </w:rPr>
        <w:t>数据来源：教育统计管理信息系统）</w:t>
      </w:r>
    </w:p>
    <w:p w14:paraId="1609D25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2025年，学校毕业生人数为1637人，2025届招生人数为1651人，学生巩固率达99.15%，较上一年提升0.81个百分点。学校的办学模式得到了广大学生及家长的高度认可，近三届就读巩固率均保持在98%以上，不仅较好地完成了我区的招生任务，也充分满足了学生的就读需求。（见表3）</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2124"/>
        <w:gridCol w:w="2125"/>
        <w:gridCol w:w="2125"/>
      </w:tblGrid>
      <w:tr w14:paraId="4C3A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124"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8138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年度</w:t>
            </w:r>
          </w:p>
        </w:tc>
        <w:tc>
          <w:tcPr>
            <w:tcW w:w="2124"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2E157D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招生人数</w:t>
            </w:r>
          </w:p>
        </w:tc>
        <w:tc>
          <w:tcPr>
            <w:tcW w:w="2125"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1E43D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毕业生人数</w:t>
            </w:r>
          </w:p>
        </w:tc>
        <w:tc>
          <w:tcPr>
            <w:tcW w:w="2125" w:type="dxa"/>
            <w:tcBorders>
              <w:top w:val="single" w:color="4874CB" w:themeColor="accent1" w:sz="6" w:space="0"/>
              <w:left w:val="nil"/>
              <w:bottom w:val="single" w:color="C8D5EF" w:themeColor="accent1" w:themeTint="4C" w:sz="6" w:space="0"/>
              <w:right w:val="single" w:color="4874CB" w:themeColor="accent1" w:sz="6" w:space="0"/>
            </w:tcBorders>
            <w:shd w:val="clear" w:color="auto" w:fill="FFFFFF"/>
            <w:vAlign w:val="center"/>
          </w:tcPr>
          <w:p w14:paraId="5B19DA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巩固率</w:t>
            </w:r>
          </w:p>
        </w:tc>
      </w:tr>
      <w:tr w14:paraId="1DC6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12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3206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2023届</w:t>
            </w:r>
          </w:p>
        </w:tc>
        <w:tc>
          <w:tcPr>
            <w:tcW w:w="212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8BDB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2185</w:t>
            </w:r>
          </w:p>
        </w:tc>
        <w:tc>
          <w:tcPr>
            <w:tcW w:w="212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11A4DD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2153</w:t>
            </w:r>
          </w:p>
        </w:tc>
        <w:tc>
          <w:tcPr>
            <w:tcW w:w="212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3DE801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98.54%</w:t>
            </w:r>
          </w:p>
        </w:tc>
      </w:tr>
      <w:tr w14:paraId="271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12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B6CB1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i w:val="0"/>
                <w:color w:val="FFFFFF"/>
                <w:kern w:val="2"/>
                <w:sz w:val="24"/>
                <w:szCs w:val="24"/>
                <w:vertAlign w:val="baseline"/>
                <w:lang w:val="en-US" w:eastAsia="zh-CN" w:bidi="ar-SA"/>
              </w:rPr>
            </w:pPr>
            <w:bookmarkStart w:id="16" w:name="_Toc7721"/>
            <w:bookmarkStart w:id="17" w:name="_Toc21555"/>
            <w:r>
              <w:rPr>
                <w:rFonts w:hint="eastAsia" w:asciiTheme="minorEastAsia" w:hAnsiTheme="minorEastAsia"/>
                <w:b/>
                <w:i w:val="0"/>
                <w:color w:val="FFFFFF"/>
                <w:sz w:val="24"/>
                <w:szCs w:val="24"/>
                <w:vertAlign w:val="baseline"/>
                <w:lang w:val="en-US" w:eastAsia="zh-CN"/>
              </w:rPr>
              <w:t>2024届</w:t>
            </w:r>
          </w:p>
        </w:tc>
        <w:tc>
          <w:tcPr>
            <w:tcW w:w="212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FC91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1691</w:t>
            </w:r>
          </w:p>
        </w:tc>
        <w:tc>
          <w:tcPr>
            <w:tcW w:w="2125"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A4AA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1663</w:t>
            </w:r>
          </w:p>
        </w:tc>
        <w:tc>
          <w:tcPr>
            <w:tcW w:w="212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2EC4C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98.34%</w:t>
            </w:r>
          </w:p>
        </w:tc>
      </w:tr>
      <w:tr w14:paraId="344E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124"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236A2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i w:val="0"/>
                <w:color w:val="FFFFFF"/>
                <w:kern w:val="2"/>
                <w:sz w:val="24"/>
                <w:szCs w:val="24"/>
                <w:vertAlign w:val="baseline"/>
                <w:lang w:val="en-US" w:eastAsia="zh-CN" w:bidi="ar-SA"/>
              </w:rPr>
            </w:pPr>
            <w:r>
              <w:rPr>
                <w:rFonts w:hint="eastAsia" w:asciiTheme="minorEastAsia" w:hAnsiTheme="minorEastAsia"/>
                <w:b/>
                <w:i w:val="0"/>
                <w:color w:val="FFFFFF"/>
                <w:sz w:val="24"/>
                <w:szCs w:val="24"/>
                <w:vertAlign w:val="baseline"/>
                <w:lang w:val="en-US" w:eastAsia="zh-CN"/>
              </w:rPr>
              <w:t>2025届</w:t>
            </w:r>
          </w:p>
        </w:tc>
        <w:tc>
          <w:tcPr>
            <w:tcW w:w="2124"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4D164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1651</w:t>
            </w:r>
          </w:p>
        </w:tc>
        <w:tc>
          <w:tcPr>
            <w:tcW w:w="2125"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6A5DA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1637</w:t>
            </w:r>
          </w:p>
        </w:tc>
        <w:tc>
          <w:tcPr>
            <w:tcW w:w="2125" w:type="dxa"/>
            <w:tcBorders>
              <w:top w:val="single" w:color="C8D5EF" w:themeColor="accent1" w:themeTint="4C" w:sz="6" w:space="0"/>
              <w:left w:val="nil"/>
              <w:bottom w:val="single" w:color="4874CB" w:themeColor="accent1" w:sz="6" w:space="0"/>
              <w:right w:val="single" w:color="4874CB" w:themeColor="accent1" w:sz="6" w:space="0"/>
            </w:tcBorders>
            <w:shd w:val="clear" w:color="auto" w:fill="FFFFFF"/>
            <w:vAlign w:val="center"/>
          </w:tcPr>
          <w:p w14:paraId="5EF45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b w:val="0"/>
                <w:i w:val="0"/>
                <w:color w:val="000000"/>
                <w:sz w:val="24"/>
                <w:szCs w:val="24"/>
                <w:vertAlign w:val="baseline"/>
                <w:lang w:val="en-US" w:eastAsia="zh-CN"/>
              </w:rPr>
              <w:t>99.15</w:t>
            </w:r>
          </w:p>
        </w:tc>
      </w:tr>
    </w:tbl>
    <w:p w14:paraId="5A0A8027">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t xml:space="preserve">表 </w:t>
      </w:r>
      <w:r>
        <w:fldChar w:fldCharType="begin"/>
      </w:r>
      <w:r>
        <w:instrText xml:space="preserve"> SEQ 表 \* ARABIC </w:instrText>
      </w:r>
      <w:r>
        <w:fldChar w:fldCharType="separate"/>
      </w:r>
      <w:r>
        <w:t>3</w:t>
      </w:r>
      <w:r>
        <w:fldChar w:fldCharType="end"/>
      </w:r>
      <w:bookmarkStart w:id="18" w:name="_Toc15079"/>
      <w:r>
        <w:rPr>
          <w:rFonts w:hint="eastAsia"/>
          <w:lang w:eastAsia="zh-CN"/>
        </w:rPr>
        <w:t xml:space="preserve">  六安天河职业中专学校毕业生情况一览表</w:t>
      </w:r>
      <w:bookmarkEnd w:id="18"/>
      <w:r>
        <w:rPr>
          <w:rFonts w:hint="eastAsia"/>
          <w:lang w:eastAsia="zh-CN"/>
        </w:rPr>
        <w:t>（</w:t>
      </w:r>
      <w:r>
        <w:rPr>
          <w:rFonts w:hint="eastAsia"/>
          <w:lang w:val="en-US" w:eastAsia="zh-CN"/>
        </w:rPr>
        <w:t>数据来源：教育统计管理信息系统）</w:t>
      </w:r>
    </w:p>
    <w:p w14:paraId="7E8E8EF8">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9" w:name="_Toc30931"/>
      <w:r>
        <w:rPr>
          <w:rFonts w:hint="eastAsia" w:ascii="黑体" w:hAnsi="黑体" w:eastAsia="黑体" w:cs="黑体"/>
          <w:lang w:val="en-US" w:eastAsia="zh-CN"/>
        </w:rPr>
        <w:t>1.2资源投入</w:t>
      </w:r>
      <w:bookmarkEnd w:id="16"/>
      <w:bookmarkEnd w:id="17"/>
      <w:bookmarkEnd w:id="19"/>
    </w:p>
    <w:p w14:paraId="25149F8A">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lang w:val="en-US" w:eastAsia="zh-CN"/>
        </w:rPr>
      </w:pPr>
      <w:r>
        <w:rPr>
          <w:rFonts w:hint="eastAsia" w:ascii="黑体" w:hAnsi="黑体" w:eastAsia="黑体" w:cs="黑体"/>
          <w:lang w:val="en-US" w:eastAsia="zh-CN"/>
        </w:rPr>
        <w:t>1.2.1建设投入</w:t>
      </w:r>
    </w:p>
    <w:p w14:paraId="49B686D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学校十分重视职业教育的发展，不断加大资源投入力度。</w:t>
      </w:r>
      <w:r>
        <w:rPr>
          <w:rFonts w:hint="eastAsia" w:asciiTheme="minorEastAsia" w:hAnsiTheme="minorEastAsia"/>
          <w:sz w:val="28"/>
          <w:szCs w:val="28"/>
        </w:rPr>
        <w:t>2</w:t>
      </w:r>
      <w:r>
        <w:rPr>
          <w:rFonts w:asciiTheme="minorEastAsia" w:hAnsiTheme="minorEastAsia"/>
          <w:sz w:val="28"/>
          <w:szCs w:val="28"/>
        </w:rPr>
        <w:t>023</w:t>
      </w:r>
      <w:r>
        <w:rPr>
          <w:rFonts w:hint="eastAsia" w:asciiTheme="minorEastAsia" w:hAnsiTheme="minorEastAsia"/>
          <w:sz w:val="28"/>
          <w:szCs w:val="28"/>
        </w:rPr>
        <w:t>年5月1</w:t>
      </w:r>
      <w:r>
        <w:rPr>
          <w:rFonts w:asciiTheme="minorEastAsia" w:hAnsiTheme="minorEastAsia"/>
          <w:sz w:val="28"/>
          <w:szCs w:val="28"/>
        </w:rPr>
        <w:t>5</w:t>
      </w:r>
      <w:r>
        <w:rPr>
          <w:rFonts w:hint="eastAsia" w:asciiTheme="minorEastAsia" w:hAnsiTheme="minorEastAsia"/>
          <w:sz w:val="28"/>
          <w:szCs w:val="28"/>
        </w:rPr>
        <w:t>日，学校与上海交大教育集团达成战略合作，双方就“职普融通、产教融合、科教融汇”展开深度而全面的合作。</w:t>
      </w:r>
      <w:r>
        <w:rPr>
          <w:rFonts w:hint="eastAsia" w:asciiTheme="minorEastAsia" w:hAnsiTheme="minorEastAsia"/>
          <w:sz w:val="28"/>
          <w:szCs w:val="28"/>
          <w:lang w:val="en-US" w:eastAsia="zh-CN"/>
        </w:rPr>
        <w:t>2024年4月23日，双方在共建六安天河职业中专学校的基础上，申报建设上海交大教育集团六安天河科技学院，以衔接中高职发展，培养高技能人才为目标，全力服务好六安重点产业发展技术人才需求。</w:t>
      </w:r>
    </w:p>
    <w:p w14:paraId="48072A9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2025年1月9日，上海交大教育集团天河科技学院项目正式开工。该项目总投资13.5亿元，受让土地356.5亩，规划建设高等专科院校主体校舍、配套功能用房及实训基地，预计2026年9月前建成并投入使用。</w:t>
      </w:r>
    </w:p>
    <w:p w14:paraId="10C3B86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sz w:val="28"/>
          <w:szCs w:val="28"/>
          <w:lang w:val="en-US" w:eastAsia="zh-CN"/>
        </w:rPr>
        <w:t>项目建成后，</w:t>
      </w:r>
      <w:r>
        <w:rPr>
          <w:rFonts w:hint="eastAsia" w:asciiTheme="minorEastAsia" w:hAnsiTheme="minorEastAsia" w:eastAsiaTheme="minorEastAsia" w:cstheme="minorBidi"/>
          <w:kern w:val="2"/>
          <w:sz w:val="28"/>
          <w:szCs w:val="28"/>
          <w:lang w:val="en-US" w:eastAsia="zh-CN" w:bidi="ar-SA"/>
        </w:rPr>
        <w:t>六安天河科技学院将秉持“质量立校、特色兴校、人才强校、文化润校”的发展战略，紧密对接安徽省十大新兴产业及六安市主导产业需求，打造契合区域产业发展、具有国内一流水平的品牌专业群；同时通过深化校企合作，为六安学子开辟高质量就业通道，为六安产业发展筑牢坚实的人才支撑。</w:t>
      </w:r>
    </w:p>
    <w:p w14:paraId="30C0554F">
      <w:pPr>
        <w:keepNext w:val="0"/>
        <w:keepLines w:val="0"/>
        <w:widowControl/>
        <w:suppressLineNumbers w:val="0"/>
        <w:jc w:val="left"/>
        <w:rPr>
          <w:rFonts w:hint="eastAsia" w:ascii="华文楷体" w:hAnsi="华文楷体" w:eastAsia="华文楷体" w:cs="华文楷体"/>
          <w:b/>
          <w:bCs/>
          <w:sz w:val="28"/>
          <w:szCs w:val="28"/>
          <w:lang w:eastAsia="zh-CN"/>
        </w:rPr>
      </w:pPr>
      <w:r>
        <w:rPr>
          <w:rFonts w:hint="eastAsia" w:ascii="华文楷体" w:hAnsi="华文楷体" w:eastAsia="华文楷体" w:cs="华文楷体"/>
          <w:b/>
          <w:bCs/>
          <w:sz w:val="28"/>
          <w:szCs w:val="28"/>
        </w:rPr>
        <w:t xml:space="preserve">案例 </w:t>
      </w:r>
      <w:r>
        <w:rPr>
          <w:rFonts w:hint="eastAsia" w:ascii="华文楷体" w:hAnsi="华文楷体" w:eastAsia="华文楷体" w:cs="华文楷体"/>
          <w:b/>
          <w:bCs/>
          <w:sz w:val="28"/>
          <w:szCs w:val="28"/>
        </w:rPr>
        <w:fldChar w:fldCharType="begin"/>
      </w:r>
      <w:r>
        <w:rPr>
          <w:rFonts w:hint="eastAsia" w:ascii="华文楷体" w:hAnsi="华文楷体" w:eastAsia="华文楷体" w:cs="华文楷体"/>
          <w:b/>
          <w:bCs/>
          <w:sz w:val="28"/>
          <w:szCs w:val="28"/>
        </w:rPr>
        <w:instrText xml:space="preserve"> SEQ 案例 \* ARABIC </w:instrText>
      </w:r>
      <w:r>
        <w:rPr>
          <w:rFonts w:hint="eastAsia" w:ascii="华文楷体" w:hAnsi="华文楷体" w:eastAsia="华文楷体" w:cs="华文楷体"/>
          <w:b/>
          <w:bCs/>
          <w:sz w:val="28"/>
          <w:szCs w:val="28"/>
        </w:rPr>
        <w:fldChar w:fldCharType="separate"/>
      </w:r>
      <w:r>
        <w:rPr>
          <w:rFonts w:hint="eastAsia" w:ascii="华文楷体" w:hAnsi="华文楷体" w:eastAsia="华文楷体" w:cs="华文楷体"/>
          <w:b/>
          <w:bCs/>
          <w:sz w:val="28"/>
          <w:szCs w:val="28"/>
        </w:rPr>
        <w:t>1</w:t>
      </w:r>
      <w:r>
        <w:rPr>
          <w:rFonts w:hint="eastAsia" w:ascii="华文楷体" w:hAnsi="华文楷体" w:eastAsia="华文楷体" w:cs="华文楷体"/>
          <w:b/>
          <w:bCs/>
          <w:sz w:val="28"/>
          <w:szCs w:val="28"/>
        </w:rPr>
        <w:fldChar w:fldCharType="end"/>
      </w:r>
      <w:bookmarkStart w:id="20" w:name="_Toc2221"/>
      <w:r>
        <w:rPr>
          <w:rFonts w:hint="eastAsia" w:ascii="华文楷体" w:hAnsi="华文楷体" w:eastAsia="华文楷体" w:cs="华文楷体"/>
          <w:b/>
          <w:bCs/>
          <w:sz w:val="28"/>
          <w:szCs w:val="28"/>
          <w:lang w:eastAsia="zh-CN"/>
        </w:rPr>
        <w:t xml:space="preserve">  </w:t>
      </w:r>
      <w:bookmarkEnd w:id="20"/>
      <w:r>
        <w:rPr>
          <w:rFonts w:hint="eastAsia" w:ascii="华文楷体" w:hAnsi="华文楷体" w:eastAsia="华文楷体" w:cs="华文楷体"/>
          <w:b/>
          <w:bCs/>
          <w:kern w:val="2"/>
          <w:sz w:val="28"/>
          <w:szCs w:val="28"/>
          <w:lang w:val="en-US" w:eastAsia="zh-CN" w:bidi="ar-SA"/>
        </w:rPr>
        <w:t>产教融合赋能老区振兴，沪皖协作谱写职教新篇</w:t>
      </w:r>
    </w:p>
    <w:p w14:paraId="7887DA0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ascii="宋体" w:hAnsi="宋体" w:eastAsia="宋体" w:cs="宋体"/>
          <w:sz w:val="24"/>
          <w:szCs w:val="24"/>
        </w:rPr>
      </w:pPr>
      <w:r>
        <w:rPr>
          <w:rFonts w:hint="eastAsia" w:ascii="华文楷体" w:hAnsi="华文楷体" w:eastAsia="华文楷体" w:cs="华文楷体"/>
          <w:kern w:val="2"/>
          <w:sz w:val="28"/>
          <w:szCs w:val="28"/>
          <w:lang w:val="en-US" w:eastAsia="zh-CN" w:bidi="ar-SA"/>
        </w:rPr>
        <w:t>2025年1月9日，上海交大教育集团六安天河科技学院二期工程在安徽六安正式开工。安徽省及六安市相关领导、上海市相关部门代表、上海交大教育集团负责人、合作企业代表以及院校师生代表等齐聚现场，共同见证这一沪皖教育协作的里程碑时刻。</w:t>
      </w:r>
      <w:r>
        <w:rPr>
          <w:rFonts w:ascii="宋体" w:hAnsi="宋体" w:eastAsia="宋体" w:cs="宋体"/>
          <w:sz w:val="24"/>
          <w:szCs w:val="24"/>
        </w:rPr>
        <w:drawing>
          <wp:inline distT="0" distB="0" distL="114300" distR="114300">
            <wp:extent cx="5266690" cy="2964815"/>
            <wp:effectExtent l="0" t="0" r="10160" b="6985"/>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9"/>
                    <a:stretch>
                      <a:fillRect/>
                    </a:stretch>
                  </pic:blipFill>
                  <pic:spPr>
                    <a:xfrm>
                      <a:off x="0" y="0"/>
                      <a:ext cx="5266690" cy="2964815"/>
                    </a:xfrm>
                    <a:prstGeom prst="rect">
                      <a:avLst/>
                    </a:prstGeom>
                    <a:noFill/>
                    <a:ln w="9525">
                      <a:noFill/>
                    </a:ln>
                  </pic:spPr>
                </pic:pic>
              </a:graphicData>
            </a:graphic>
          </wp:inline>
        </w:drawing>
      </w:r>
    </w:p>
    <w:p w14:paraId="3C423853">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3</w:t>
      </w:r>
      <w:r>
        <w:fldChar w:fldCharType="end"/>
      </w:r>
      <w:bookmarkStart w:id="21" w:name="_Toc3290"/>
      <w:r>
        <w:rPr>
          <w:rFonts w:hint="eastAsia"/>
          <w:lang w:val="en-US" w:eastAsia="zh-CN"/>
        </w:rPr>
        <w:t xml:space="preserve">  </w:t>
      </w:r>
      <w:r>
        <w:rPr>
          <w:rFonts w:hint="eastAsia"/>
          <w:lang w:eastAsia="zh-CN"/>
        </w:rPr>
        <w:t>上海交大教育集团六安天河科技学院项目</w:t>
      </w:r>
      <w:r>
        <w:rPr>
          <w:rFonts w:hint="eastAsia"/>
          <w:lang w:val="en-US" w:eastAsia="zh-CN"/>
        </w:rPr>
        <w:t xml:space="preserve">开工庆典 </w:t>
      </w:r>
      <w:bookmarkEnd w:id="21"/>
    </w:p>
    <w:p w14:paraId="63A78B2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eastAsia="宋体"/>
          <w:lang w:eastAsia="zh-CN"/>
        </w:rPr>
      </w:pPr>
      <w:r>
        <w:rPr>
          <w:rFonts w:hint="eastAsia" w:ascii="华文楷体" w:hAnsi="华文楷体" w:eastAsia="华文楷体" w:cs="华文楷体"/>
          <w:kern w:val="2"/>
          <w:sz w:val="28"/>
          <w:szCs w:val="28"/>
          <w:lang w:val="en-US" w:eastAsia="zh-CN" w:bidi="ar-SA"/>
        </w:rPr>
        <w:t>此次开工的是二期项目，规划建设高等专科院校及相关功能用房、实习实训基地等设施。该项目的正式开工，是沪六对口合作的重要成果，标志着学院在建设工科特色鲜明、产教深度融合的国内一流高职院校道路上，迈出了关键一步。安徽天河教育集团将与上海交大教育集团携手，加快项目建设进度，提升办学内涵质量，推动沪六对口合作走深走实，努力办好让老区人民满意的教育。</w:t>
      </w:r>
    </w:p>
    <w:p w14:paraId="1B48D6F4">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1.2.2办学条件</w:t>
      </w:r>
    </w:p>
    <w:p w14:paraId="1A3713A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eastAsiaTheme="minorEastAsia" w:cstheme="minorEastAsia"/>
          <w:sz w:val="28"/>
          <w:szCs w:val="36"/>
          <w:lang w:eastAsia="zh-CN"/>
        </w:rPr>
        <w:t>新校区占地面积2</w:t>
      </w:r>
      <w:r>
        <w:rPr>
          <w:rFonts w:hint="eastAsia" w:asciiTheme="minorEastAsia" w:hAnsiTheme="minorEastAsia" w:cstheme="minorEastAsia"/>
          <w:sz w:val="28"/>
          <w:szCs w:val="36"/>
          <w:lang w:val="en-US" w:eastAsia="zh-CN"/>
        </w:rPr>
        <w:t>0</w:t>
      </w:r>
      <w:r>
        <w:rPr>
          <w:rFonts w:hint="eastAsia" w:asciiTheme="minorEastAsia" w:hAnsiTheme="minorEastAsia" w:eastAsiaTheme="minorEastAsia" w:cstheme="minorEastAsia"/>
          <w:sz w:val="28"/>
          <w:szCs w:val="36"/>
          <w:lang w:val="en-US" w:eastAsia="zh-CN"/>
        </w:rPr>
        <w:t>6589平方米，总建筑面积208223平方米。</w:t>
      </w:r>
      <w:r>
        <w:rPr>
          <w:rFonts w:hint="eastAsia" w:asciiTheme="minorEastAsia" w:hAnsiTheme="minorEastAsia" w:cstheme="minorEastAsia"/>
          <w:sz w:val="28"/>
          <w:szCs w:val="36"/>
          <w:lang w:val="en-US" w:eastAsia="zh-CN"/>
        </w:rPr>
        <w:t>校区内建有产教融合基地三栋、实习实训基地一座、艺体技能实训楼一栋、图书馆一栋、室内体育馆一栋、学生食堂一栋、学生公寓两栋及学术交流中心一栋</w:t>
      </w:r>
      <w:r>
        <w:rPr>
          <w:rFonts w:hint="eastAsia" w:ascii="宋体" w:hAnsi="宋体" w:eastAsia="宋体" w:cs="宋体"/>
          <w:sz w:val="28"/>
          <w:szCs w:val="28"/>
          <w:lang w:val="en-US" w:eastAsia="zh-CN"/>
        </w:rPr>
        <w:t>，师生生活所需各类设施齐全。目前，学校生均占地面积为34.5平方米，生均校舍建筑面积为</w:t>
      </w:r>
      <w:r>
        <w:rPr>
          <w:rFonts w:hint="eastAsia" w:ascii="宋体" w:hAnsi="宋体" w:eastAsia="宋体" w:cs="宋体"/>
          <w:kern w:val="2"/>
          <w:sz w:val="28"/>
          <w:szCs w:val="28"/>
          <w:lang w:val="en-US" w:eastAsia="zh-CN" w:bidi="ar-SA"/>
        </w:rPr>
        <w:t>34.7</w:t>
      </w:r>
      <w:r>
        <w:rPr>
          <w:rFonts w:hint="eastAsia" w:ascii="宋体" w:hAnsi="宋体" w:eastAsia="宋体" w:cs="宋体"/>
          <w:sz w:val="28"/>
          <w:szCs w:val="28"/>
          <w:lang w:val="en-US" w:eastAsia="zh-CN"/>
        </w:rPr>
        <w:t>平方米，两项指标均高于国家规定标准。</w:t>
      </w:r>
    </w:p>
    <w:p w14:paraId="567C6CF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36"/>
          <w:lang w:val="en-US" w:eastAsia="zh-CN"/>
        </w:rPr>
        <w:t>艺体技能实训楼设有计算机实训中心、市场营销实训中心、音乐实训中心、美术实训中心、传媒实训中心、体育实训中心及汽修实训室等校内实训场所，实训设备配备齐全，可基本满足日常教学需求。目前，</w:t>
      </w:r>
      <w:r>
        <w:rPr>
          <w:rFonts w:hint="eastAsia" w:ascii="宋体" w:hAnsi="宋体" w:eastAsia="宋体" w:cs="宋体"/>
          <w:sz w:val="28"/>
          <w:szCs w:val="28"/>
          <w:lang w:val="en-US" w:eastAsia="zh-CN"/>
        </w:rPr>
        <w:t>教学设备设施正按省级重点职业学校标准推进规划建设，学生在常规教学环境下能够较好地开展专业技能的学习与训练。</w:t>
      </w:r>
    </w:p>
    <w:p w14:paraId="128C7FE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52085" cy="3503295"/>
            <wp:effectExtent l="0" t="0" r="5715" b="1905"/>
            <wp:docPr id="16" name="图片 16" descr="4ff7d7d26a132072d831af8ab07c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ff7d7d26a132072d831af8ab07cf3b"/>
                    <pic:cNvPicPr>
                      <a:picLocks noChangeAspect="1"/>
                    </pic:cNvPicPr>
                  </pic:nvPicPr>
                  <pic:blipFill>
                    <a:blip r:embed="rId10"/>
                    <a:stretch>
                      <a:fillRect/>
                    </a:stretch>
                  </pic:blipFill>
                  <pic:spPr>
                    <a:xfrm>
                      <a:off x="0" y="0"/>
                      <a:ext cx="5252085" cy="3503295"/>
                    </a:xfrm>
                    <a:prstGeom prst="rect">
                      <a:avLst/>
                    </a:prstGeom>
                  </pic:spPr>
                </pic:pic>
              </a:graphicData>
            </a:graphic>
          </wp:inline>
        </w:drawing>
      </w:r>
    </w:p>
    <w:p w14:paraId="0FE50CAF">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8"/>
          <w:szCs w:val="28"/>
          <w:lang w:val="en-US" w:eastAsia="zh-CN"/>
        </w:rPr>
      </w:pPr>
      <w:r>
        <w:t xml:space="preserve">图 </w:t>
      </w:r>
      <w:r>
        <w:fldChar w:fldCharType="begin"/>
      </w:r>
      <w:r>
        <w:instrText xml:space="preserve"> SEQ 图 \* ARABIC </w:instrText>
      </w:r>
      <w:r>
        <w:fldChar w:fldCharType="separate"/>
      </w:r>
      <w:r>
        <w:t>4</w:t>
      </w:r>
      <w:r>
        <w:fldChar w:fldCharType="end"/>
      </w:r>
      <w:bookmarkStart w:id="22" w:name="_Toc22198"/>
      <w:r>
        <w:rPr>
          <w:rFonts w:hint="eastAsia"/>
          <w:lang w:val="en-US" w:eastAsia="zh-CN"/>
        </w:rPr>
        <w:t xml:space="preserve">   </w:t>
      </w:r>
      <w:r>
        <w:rPr>
          <w:rFonts w:hint="eastAsia"/>
          <w:lang w:eastAsia="zh-CN"/>
        </w:rPr>
        <w:t>图书馆和艺体技能实训楼</w:t>
      </w:r>
      <w:bookmarkEnd w:id="22"/>
    </w:p>
    <w:p w14:paraId="3519BED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36"/>
          <w:lang w:val="en-US" w:eastAsia="zh-CN"/>
        </w:rPr>
      </w:pPr>
      <w:r>
        <w:rPr>
          <w:rFonts w:hint="eastAsia" w:asciiTheme="minorEastAsia" w:hAnsiTheme="minorEastAsia" w:cstheme="minorEastAsia"/>
          <w:sz w:val="28"/>
          <w:szCs w:val="36"/>
          <w:lang w:val="en-US" w:eastAsia="zh-CN"/>
        </w:rPr>
        <w:t>2025年，学校仪器设备总值达2717万元，生均教学仪器设备资产值为4536.65元，较上年略有增长；图书总册数为232730册，生均图书38.86册，较上年亦略有增长；实训实习工位总数共5700个，生均实训实习工位数0.95个，较上年同样略有增长（详见表4）。学校将坚持质量导向，拉高办学标杆，补短板、锻长板、强质量、育特色，加快推进学校二期项目建设，力争早日跻身优秀中等职业学校行列。</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4"/>
        <w:gridCol w:w="1704"/>
      </w:tblGrid>
      <w:tr w14:paraId="7B6C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04"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11A67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项目</w:t>
            </w:r>
          </w:p>
        </w:tc>
        <w:tc>
          <w:tcPr>
            <w:tcW w:w="1704"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125DA1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2024年度</w:t>
            </w:r>
          </w:p>
        </w:tc>
        <w:tc>
          <w:tcPr>
            <w:tcW w:w="1704"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1675DE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生均</w:t>
            </w:r>
          </w:p>
        </w:tc>
        <w:tc>
          <w:tcPr>
            <w:tcW w:w="1704" w:type="dxa"/>
            <w:tcBorders>
              <w:top w:val="single" w:color="4874CB" w:themeColor="accent1" w:sz="6" w:space="0"/>
              <w:left w:val="nil"/>
              <w:bottom w:val="single" w:color="C8D5EF" w:themeColor="accent1" w:themeTint="4C" w:sz="6" w:space="0"/>
              <w:right w:val="nil"/>
            </w:tcBorders>
            <w:shd w:val="clear" w:color="auto" w:fill="FFFFFF"/>
            <w:vAlign w:val="center"/>
          </w:tcPr>
          <w:p w14:paraId="155638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2024年度</w:t>
            </w:r>
          </w:p>
        </w:tc>
        <w:tc>
          <w:tcPr>
            <w:tcW w:w="1704"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6B92A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生均</w:t>
            </w:r>
          </w:p>
        </w:tc>
      </w:tr>
      <w:tr w14:paraId="133F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70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1112CB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校园占地面积</w:t>
            </w:r>
          </w:p>
          <w:p w14:paraId="05819C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w:t>
            </w:r>
          </w:p>
        </w:tc>
        <w:tc>
          <w:tcPr>
            <w:tcW w:w="170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1F653B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206589</w:t>
            </w:r>
          </w:p>
        </w:tc>
        <w:tc>
          <w:tcPr>
            <w:tcW w:w="170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218943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30.66</w:t>
            </w:r>
          </w:p>
        </w:tc>
        <w:tc>
          <w:tcPr>
            <w:tcW w:w="1704"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358C9D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206589</w:t>
            </w:r>
          </w:p>
        </w:tc>
        <w:tc>
          <w:tcPr>
            <w:tcW w:w="17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46C282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default" w:asciiTheme="minorEastAsia" w:hAnsiTheme="minorEastAsia" w:cstheme="minorEastAsia"/>
                <w:b w:val="0"/>
                <w:i w:val="0"/>
                <w:color w:val="000000"/>
                <w:sz w:val="24"/>
                <w:szCs w:val="32"/>
                <w:vertAlign w:val="baseline"/>
                <w:lang w:val="en-US" w:eastAsia="zh-CN"/>
              </w:rPr>
              <w:t>34.5</w:t>
            </w:r>
          </w:p>
        </w:tc>
      </w:tr>
      <w:tr w14:paraId="3C4F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70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3D0E2A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校舍建筑面积</w:t>
            </w:r>
          </w:p>
          <w:p w14:paraId="172E64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w:t>
            </w:r>
          </w:p>
        </w:tc>
        <w:tc>
          <w:tcPr>
            <w:tcW w:w="170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5C52EA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208223</w:t>
            </w:r>
          </w:p>
        </w:tc>
        <w:tc>
          <w:tcPr>
            <w:tcW w:w="170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6270CD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30.91</w:t>
            </w:r>
          </w:p>
        </w:tc>
        <w:tc>
          <w:tcPr>
            <w:tcW w:w="1704"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6162E2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208223</w:t>
            </w:r>
          </w:p>
        </w:tc>
        <w:tc>
          <w:tcPr>
            <w:tcW w:w="17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019CE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default" w:asciiTheme="minorEastAsia" w:hAnsiTheme="minorEastAsia" w:cstheme="minorEastAsia"/>
                <w:b w:val="0"/>
                <w:i w:val="0"/>
                <w:color w:val="000000"/>
                <w:sz w:val="24"/>
                <w:szCs w:val="32"/>
                <w:vertAlign w:val="baseline"/>
                <w:lang w:val="en-US" w:eastAsia="zh-CN"/>
              </w:rPr>
              <w:t>34.7</w:t>
            </w:r>
          </w:p>
        </w:tc>
      </w:tr>
      <w:tr w14:paraId="5B04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70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6D8D31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教学仪器设备总值（万元）</w:t>
            </w:r>
          </w:p>
        </w:tc>
        <w:tc>
          <w:tcPr>
            <w:tcW w:w="170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7F24BE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2717</w:t>
            </w:r>
          </w:p>
        </w:tc>
        <w:tc>
          <w:tcPr>
            <w:tcW w:w="170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CE517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0.40</w:t>
            </w:r>
          </w:p>
        </w:tc>
        <w:tc>
          <w:tcPr>
            <w:tcW w:w="1704"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77DAF5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2717</w:t>
            </w:r>
          </w:p>
        </w:tc>
        <w:tc>
          <w:tcPr>
            <w:tcW w:w="17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193230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0.45</w:t>
            </w:r>
          </w:p>
        </w:tc>
      </w:tr>
      <w:tr w14:paraId="4C57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704"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6BD144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图书总册数</w:t>
            </w:r>
          </w:p>
          <w:p w14:paraId="630BDB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（册）</w:t>
            </w:r>
          </w:p>
        </w:tc>
        <w:tc>
          <w:tcPr>
            <w:tcW w:w="1704"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37ABA6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232730</w:t>
            </w:r>
          </w:p>
        </w:tc>
        <w:tc>
          <w:tcPr>
            <w:tcW w:w="170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37BA4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34.55</w:t>
            </w:r>
          </w:p>
        </w:tc>
        <w:tc>
          <w:tcPr>
            <w:tcW w:w="1704"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050C44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232730</w:t>
            </w:r>
          </w:p>
        </w:tc>
        <w:tc>
          <w:tcPr>
            <w:tcW w:w="17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A31B6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default" w:asciiTheme="minorEastAsia" w:hAnsiTheme="minorEastAsia" w:cstheme="minorEastAsia"/>
                <w:b w:val="0"/>
                <w:i w:val="0"/>
                <w:color w:val="000000"/>
                <w:sz w:val="24"/>
                <w:szCs w:val="32"/>
                <w:vertAlign w:val="baseline"/>
                <w:lang w:val="en-US" w:eastAsia="zh-CN"/>
              </w:rPr>
              <w:t>38.86</w:t>
            </w:r>
          </w:p>
        </w:tc>
      </w:tr>
      <w:tr w14:paraId="5584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704"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7C16AB1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实训实习工位</w:t>
            </w:r>
          </w:p>
          <w:p w14:paraId="64C194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（个）</w:t>
            </w:r>
          </w:p>
        </w:tc>
        <w:tc>
          <w:tcPr>
            <w:tcW w:w="1704"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3422D4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5700</w:t>
            </w:r>
          </w:p>
        </w:tc>
        <w:tc>
          <w:tcPr>
            <w:tcW w:w="1704"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22EA0A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0.85</w:t>
            </w:r>
          </w:p>
        </w:tc>
        <w:tc>
          <w:tcPr>
            <w:tcW w:w="1704" w:type="dxa"/>
            <w:tcBorders>
              <w:top w:val="single" w:color="C8D5EF" w:themeColor="accent1" w:themeTint="4C" w:sz="6" w:space="0"/>
              <w:left w:val="nil"/>
              <w:bottom w:val="single" w:color="4874CB" w:themeColor="accent1" w:sz="6" w:space="0"/>
              <w:right w:val="nil"/>
            </w:tcBorders>
            <w:shd w:val="clear" w:color="auto" w:fill="FFFFFF"/>
            <w:vAlign w:val="center"/>
          </w:tcPr>
          <w:p w14:paraId="3A7D60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5700</w:t>
            </w:r>
          </w:p>
        </w:tc>
        <w:tc>
          <w:tcPr>
            <w:tcW w:w="1704"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49BF930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default" w:asciiTheme="minorEastAsia" w:hAnsiTheme="minorEastAsia" w:cstheme="minorEastAsia"/>
                <w:b w:val="0"/>
                <w:i w:val="0"/>
                <w:color w:val="000000"/>
                <w:sz w:val="24"/>
                <w:szCs w:val="32"/>
                <w:vertAlign w:val="baseline"/>
                <w:lang w:val="en-US" w:eastAsia="zh-CN"/>
              </w:rPr>
              <w:t>0.95</w:t>
            </w:r>
          </w:p>
        </w:tc>
      </w:tr>
    </w:tbl>
    <w:p w14:paraId="51A485E4">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bookmarkStart w:id="23" w:name="_Toc15107"/>
      <w:bookmarkStart w:id="24" w:name="_Toc22755"/>
      <w:r>
        <w:t xml:space="preserve">表 </w:t>
      </w:r>
      <w:r>
        <w:fldChar w:fldCharType="begin"/>
      </w:r>
      <w:r>
        <w:instrText xml:space="preserve"> SEQ 表 \* ARABIC </w:instrText>
      </w:r>
      <w:r>
        <w:fldChar w:fldCharType="separate"/>
      </w:r>
      <w:r>
        <w:t>4</w:t>
      </w:r>
      <w:r>
        <w:fldChar w:fldCharType="end"/>
      </w:r>
      <w:bookmarkStart w:id="25" w:name="_Toc29727"/>
      <w:r>
        <w:rPr>
          <w:rFonts w:hint="eastAsia"/>
          <w:lang w:eastAsia="zh-CN"/>
        </w:rPr>
        <w:t xml:space="preserve">  六安天河职业中专学校办学条件达标情况一览表</w:t>
      </w:r>
      <w:bookmarkEnd w:id="25"/>
      <w:r>
        <w:rPr>
          <w:rFonts w:hint="eastAsia"/>
          <w:lang w:eastAsia="zh-CN"/>
        </w:rPr>
        <w:t>（</w:t>
      </w:r>
      <w:r>
        <w:rPr>
          <w:rFonts w:hint="eastAsia"/>
          <w:lang w:val="en-US" w:eastAsia="zh-CN"/>
        </w:rPr>
        <w:t>数据来源：教育统计管理信息系统）</w:t>
      </w:r>
    </w:p>
    <w:p w14:paraId="50E8C249">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26" w:name="_Toc24200"/>
      <w:r>
        <w:rPr>
          <w:rFonts w:hint="eastAsia" w:ascii="黑体" w:hAnsi="黑体" w:eastAsia="黑体" w:cs="黑体"/>
          <w:lang w:val="en-US" w:eastAsia="zh-CN"/>
        </w:rPr>
        <w:t>1.3师资力量</w:t>
      </w:r>
      <w:bookmarkEnd w:id="23"/>
      <w:bookmarkEnd w:id="24"/>
      <w:bookmarkEnd w:id="26"/>
    </w:p>
    <w:p w14:paraId="3E54740A">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1.3.1教师队伍</w:t>
      </w:r>
    </w:p>
    <w:p w14:paraId="280B9AA1">
      <w:pPr>
        <w:adjustRightInd w:val="0"/>
        <w:snapToGrid w:val="0"/>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学校现有教职工505人，其中专任教师308人、行业导师52人，师生比为1:17.93，较去年有所提升。公共基础课专任教师162人，较去年减少3人；专业课教师146人，较去年减少3人。在专业课教师中，双师型教师78人，占比53.42%，较去年略有增长。</w:t>
      </w:r>
      <w:r>
        <w:rPr>
          <w:rFonts w:hint="eastAsia" w:asciiTheme="minorEastAsia" w:hAnsiTheme="minorEastAsia" w:cstheme="minorEastAsia"/>
          <w:sz w:val="28"/>
          <w:szCs w:val="36"/>
          <w:lang w:val="en-US" w:eastAsia="zh-CN"/>
        </w:rPr>
        <w:t>（见表5）</w:t>
      </w:r>
    </w:p>
    <w:tbl>
      <w:tblPr>
        <w:tblStyle w:val="19"/>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067"/>
        <w:gridCol w:w="1067"/>
        <w:gridCol w:w="1067"/>
        <w:gridCol w:w="1067"/>
        <w:gridCol w:w="1067"/>
        <w:gridCol w:w="1067"/>
        <w:gridCol w:w="1067"/>
      </w:tblGrid>
      <w:tr w14:paraId="17E4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067"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E62F4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年度</w:t>
            </w:r>
          </w:p>
        </w:tc>
        <w:tc>
          <w:tcPr>
            <w:tcW w:w="1067"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02CB5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专任教师数</w:t>
            </w:r>
          </w:p>
        </w:tc>
        <w:tc>
          <w:tcPr>
            <w:tcW w:w="1067"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3B224E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行业导师数</w:t>
            </w:r>
          </w:p>
        </w:tc>
        <w:tc>
          <w:tcPr>
            <w:tcW w:w="1067" w:type="dxa"/>
            <w:tcBorders>
              <w:top w:val="single" w:color="4874CB" w:themeColor="accent1" w:sz="6" w:space="0"/>
              <w:left w:val="nil"/>
              <w:bottom w:val="single" w:color="C8D5EF" w:themeColor="accent1" w:themeTint="4C" w:sz="6" w:space="0"/>
              <w:right w:val="nil"/>
            </w:tcBorders>
            <w:shd w:val="clear" w:color="auto" w:fill="FFFFFF"/>
            <w:vAlign w:val="center"/>
          </w:tcPr>
          <w:p w14:paraId="6B69AD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生师比</w:t>
            </w:r>
          </w:p>
        </w:tc>
        <w:tc>
          <w:tcPr>
            <w:tcW w:w="1067"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2C0661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公共基础课教师数</w:t>
            </w:r>
          </w:p>
        </w:tc>
        <w:tc>
          <w:tcPr>
            <w:tcW w:w="1067" w:type="dxa"/>
            <w:tcBorders>
              <w:top w:val="single" w:color="4874CB" w:themeColor="accent1" w:sz="6" w:space="0"/>
              <w:left w:val="nil"/>
              <w:bottom w:val="single" w:color="C8D5EF" w:themeColor="accent1" w:themeTint="4C" w:sz="6" w:space="0"/>
              <w:right w:val="nil"/>
            </w:tcBorders>
            <w:shd w:val="clear" w:color="auto" w:fill="FFFFFF"/>
            <w:vAlign w:val="center"/>
          </w:tcPr>
          <w:p w14:paraId="0967D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专业课教师数</w:t>
            </w:r>
          </w:p>
        </w:tc>
        <w:tc>
          <w:tcPr>
            <w:tcW w:w="1067"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700374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双师型教师数</w:t>
            </w:r>
          </w:p>
        </w:tc>
        <w:tc>
          <w:tcPr>
            <w:tcW w:w="1067" w:type="dxa"/>
            <w:tcBorders>
              <w:top w:val="single" w:color="4874CB" w:themeColor="accent1" w:sz="6" w:space="0"/>
              <w:left w:val="nil"/>
              <w:bottom w:val="single" w:color="C8D5EF" w:themeColor="accent1" w:themeTint="4C" w:sz="6" w:space="0"/>
              <w:right w:val="single" w:color="4874CB" w:themeColor="accent1" w:sz="6" w:space="0"/>
            </w:tcBorders>
            <w:shd w:val="clear" w:color="auto" w:fill="FFFFFF"/>
            <w:vAlign w:val="center"/>
          </w:tcPr>
          <w:p w14:paraId="06CDF4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双师型教师占比</w:t>
            </w:r>
          </w:p>
        </w:tc>
      </w:tr>
      <w:tr w14:paraId="1F39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67"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63AA30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2024年度</w:t>
            </w:r>
          </w:p>
        </w:tc>
        <w:tc>
          <w:tcPr>
            <w:tcW w:w="106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2E82F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314</w:t>
            </w:r>
          </w:p>
        </w:tc>
        <w:tc>
          <w:tcPr>
            <w:tcW w:w="1067"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B944D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52</w:t>
            </w:r>
          </w:p>
        </w:tc>
        <w:tc>
          <w:tcPr>
            <w:tcW w:w="1067"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709A7B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19.81</w:t>
            </w:r>
          </w:p>
        </w:tc>
        <w:tc>
          <w:tcPr>
            <w:tcW w:w="1067"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1D714D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165</w:t>
            </w:r>
          </w:p>
        </w:tc>
        <w:tc>
          <w:tcPr>
            <w:tcW w:w="1067"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07181A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149</w:t>
            </w:r>
          </w:p>
        </w:tc>
        <w:tc>
          <w:tcPr>
            <w:tcW w:w="1067"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CDFA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78</w:t>
            </w:r>
          </w:p>
        </w:tc>
        <w:tc>
          <w:tcPr>
            <w:tcW w:w="1067"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5B7B13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52.35</w:t>
            </w:r>
          </w:p>
        </w:tc>
      </w:tr>
      <w:tr w14:paraId="743A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67"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75912F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i w:val="0"/>
                <w:color w:val="FFFFFF"/>
                <w:sz w:val="24"/>
                <w:szCs w:val="24"/>
                <w:vertAlign w:val="baseline"/>
                <w:lang w:val="en-US" w:eastAsia="zh-CN"/>
              </w:rPr>
            </w:pPr>
            <w:r>
              <w:rPr>
                <w:rFonts w:hint="eastAsia" w:asciiTheme="minorEastAsia" w:hAnsiTheme="minorEastAsia"/>
                <w:b/>
                <w:i w:val="0"/>
                <w:color w:val="FFFFFF"/>
                <w:sz w:val="24"/>
                <w:szCs w:val="24"/>
                <w:vertAlign w:val="baseline"/>
                <w:lang w:val="en-US" w:eastAsia="zh-CN"/>
              </w:rPr>
              <w:t>2025年度</w:t>
            </w:r>
          </w:p>
        </w:tc>
        <w:tc>
          <w:tcPr>
            <w:tcW w:w="1067"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135B9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308</w:t>
            </w:r>
          </w:p>
        </w:tc>
        <w:tc>
          <w:tcPr>
            <w:tcW w:w="1067"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2F8AD2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52</w:t>
            </w:r>
          </w:p>
        </w:tc>
        <w:tc>
          <w:tcPr>
            <w:tcW w:w="1067" w:type="dxa"/>
            <w:tcBorders>
              <w:top w:val="single" w:color="C8D5EF" w:themeColor="accent1" w:themeTint="4C" w:sz="6" w:space="0"/>
              <w:left w:val="nil"/>
              <w:bottom w:val="single" w:color="4874CB" w:themeColor="accent1" w:sz="6" w:space="0"/>
              <w:right w:val="nil"/>
            </w:tcBorders>
            <w:shd w:val="clear" w:color="auto" w:fill="FFFFFF"/>
            <w:vAlign w:val="center"/>
          </w:tcPr>
          <w:p w14:paraId="2D47BD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cstheme="minorBidi"/>
                <w:b w:val="0"/>
                <w:i w:val="0"/>
                <w:color w:val="000000"/>
                <w:kern w:val="2"/>
                <w:sz w:val="24"/>
                <w:szCs w:val="24"/>
                <w:vertAlign w:val="baseline"/>
                <w:lang w:val="en-US" w:eastAsia="zh-CN" w:bidi="ar-SA"/>
              </w:rPr>
            </w:pPr>
            <w:r>
              <w:rPr>
                <w:rFonts w:hint="eastAsia" w:asciiTheme="minorEastAsia" w:hAnsiTheme="minorEastAsia" w:cstheme="minorBidi"/>
                <w:b w:val="0"/>
                <w:i w:val="0"/>
                <w:color w:val="000000"/>
                <w:kern w:val="2"/>
                <w:sz w:val="24"/>
                <w:szCs w:val="24"/>
                <w:vertAlign w:val="baseline"/>
                <w:lang w:val="en-US" w:eastAsia="zh-CN" w:bidi="ar-SA"/>
              </w:rPr>
              <w:t>17.93</w:t>
            </w:r>
          </w:p>
        </w:tc>
        <w:tc>
          <w:tcPr>
            <w:tcW w:w="1067"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17AE0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162</w:t>
            </w:r>
          </w:p>
        </w:tc>
        <w:tc>
          <w:tcPr>
            <w:tcW w:w="1067" w:type="dxa"/>
            <w:tcBorders>
              <w:top w:val="single" w:color="C8D5EF" w:themeColor="accent1" w:themeTint="4C" w:sz="6" w:space="0"/>
              <w:left w:val="nil"/>
              <w:bottom w:val="single" w:color="4874CB" w:themeColor="accent1" w:sz="6" w:space="0"/>
              <w:right w:val="nil"/>
            </w:tcBorders>
            <w:shd w:val="clear" w:color="auto" w:fill="FFFFFF"/>
            <w:vAlign w:val="center"/>
          </w:tcPr>
          <w:p w14:paraId="59264A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146</w:t>
            </w:r>
          </w:p>
        </w:tc>
        <w:tc>
          <w:tcPr>
            <w:tcW w:w="1067"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42973D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78</w:t>
            </w:r>
          </w:p>
        </w:tc>
        <w:tc>
          <w:tcPr>
            <w:tcW w:w="1067" w:type="dxa"/>
            <w:tcBorders>
              <w:top w:val="single" w:color="C8D5EF" w:themeColor="accent1" w:themeTint="4C" w:sz="6" w:space="0"/>
              <w:left w:val="nil"/>
              <w:bottom w:val="single" w:color="4874CB" w:themeColor="accent1" w:sz="6" w:space="0"/>
              <w:right w:val="single" w:color="4874CB" w:themeColor="accent1" w:sz="6" w:space="0"/>
            </w:tcBorders>
            <w:shd w:val="clear" w:color="auto" w:fill="FFFFFF"/>
            <w:vAlign w:val="center"/>
          </w:tcPr>
          <w:p w14:paraId="1E10DD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b w:val="0"/>
                <w:i w:val="0"/>
                <w:color w:val="000000"/>
                <w:sz w:val="24"/>
                <w:szCs w:val="24"/>
                <w:vertAlign w:val="baseline"/>
                <w:lang w:val="en-US" w:eastAsia="zh-CN"/>
              </w:rPr>
            </w:pPr>
            <w:r>
              <w:rPr>
                <w:rFonts w:hint="eastAsia" w:asciiTheme="minorEastAsia" w:hAnsiTheme="minorEastAsia"/>
                <w:b w:val="0"/>
                <w:i w:val="0"/>
                <w:color w:val="000000"/>
                <w:sz w:val="24"/>
                <w:szCs w:val="24"/>
                <w:vertAlign w:val="baseline"/>
                <w:lang w:val="en-US" w:eastAsia="zh-CN"/>
              </w:rPr>
              <w:t>53.42</w:t>
            </w:r>
          </w:p>
        </w:tc>
      </w:tr>
    </w:tbl>
    <w:p w14:paraId="1986BC57">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t xml:space="preserve">表 </w:t>
      </w:r>
      <w:r>
        <w:fldChar w:fldCharType="begin"/>
      </w:r>
      <w:r>
        <w:instrText xml:space="preserve"> SEQ 表 \* ARABIC </w:instrText>
      </w:r>
      <w:r>
        <w:fldChar w:fldCharType="separate"/>
      </w:r>
      <w:r>
        <w:t>5</w:t>
      </w:r>
      <w:r>
        <w:fldChar w:fldCharType="end"/>
      </w:r>
      <w:bookmarkStart w:id="27" w:name="_Toc22218"/>
      <w:r>
        <w:rPr>
          <w:rFonts w:hint="eastAsia"/>
          <w:lang w:eastAsia="zh-CN"/>
        </w:rPr>
        <w:t xml:space="preserve">  六安天河职业中专学校教师队伍情况一览表</w:t>
      </w:r>
      <w:bookmarkEnd w:id="27"/>
      <w:r>
        <w:rPr>
          <w:rFonts w:hint="eastAsia"/>
          <w:lang w:eastAsia="zh-CN"/>
        </w:rPr>
        <w:t>（</w:t>
      </w:r>
      <w:r>
        <w:rPr>
          <w:rFonts w:hint="eastAsia"/>
          <w:lang w:val="en-US" w:eastAsia="zh-CN"/>
        </w:rPr>
        <w:t>数据来源：教育统计管理信息系统）</w:t>
      </w:r>
    </w:p>
    <w:p w14:paraId="0B2C088C">
      <w:pPr>
        <w:adjustRightInd w:val="0"/>
        <w:snapToGrid w:val="0"/>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其中本科学历294人，占全体专任教师的95.45%；硕士及以上学历14人，占全体专任教师的4.54%；专任教师本科以上学历占比达100%。高级职称17人，占全体专任教师的5.52%；中级职称122人，占全体专任教师的39.61%；初级职称146人，占全体专任教师的47.40%；未定职称23人，占全体专任教师的7.47%。</w:t>
      </w:r>
      <w:r>
        <w:rPr>
          <w:rFonts w:hint="eastAsia" w:asciiTheme="minorEastAsia" w:hAnsiTheme="minorEastAsia" w:cstheme="minorEastAsia"/>
          <w:sz w:val="28"/>
          <w:szCs w:val="36"/>
          <w:lang w:val="en-US" w:eastAsia="zh-CN"/>
        </w:rPr>
        <w:t>（见表</w:t>
      </w:r>
      <w:r>
        <w:rPr>
          <w:rFonts w:hint="eastAsia" w:asciiTheme="minorEastAsia" w:hAnsiTheme="minorEastAsia"/>
          <w:sz w:val="28"/>
          <w:szCs w:val="28"/>
          <w:lang w:val="en-US" w:eastAsia="zh-CN"/>
        </w:rPr>
        <w:t>6）</w:t>
      </w:r>
    </w:p>
    <w:p w14:paraId="42177708">
      <w:pPr>
        <w:adjustRightInd w:val="0"/>
        <w:snapToGrid w:val="0"/>
        <w:spacing w:line="360" w:lineRule="auto"/>
        <w:ind w:firstLine="560" w:firstLineChars="200"/>
        <w:jc w:val="left"/>
        <w:rPr>
          <w:rFonts w:hint="eastAsia" w:eastAsiaTheme="minorEastAsia"/>
          <w:sz w:val="28"/>
          <w:szCs w:val="28"/>
          <w:lang w:eastAsia="zh-CN"/>
        </w:rPr>
      </w:pPr>
      <w:r>
        <w:rPr>
          <w:rFonts w:hint="eastAsia" w:asciiTheme="minorEastAsia" w:hAnsiTheme="minorEastAsia"/>
          <w:sz w:val="28"/>
          <w:szCs w:val="28"/>
          <w:lang w:val="en-US" w:eastAsia="zh-CN"/>
        </w:rPr>
        <w:t>教师平均年龄33岁，老中青结构相对合理，且以年轻教师为主，为学校教学注入了充沛活力。</w:t>
      </w:r>
      <w:r>
        <w:rPr>
          <w:rFonts w:hint="eastAsia" w:ascii="Arial" w:hAnsi="Arial" w:eastAsia="宋体" w:cs="Arial"/>
          <w:i w:val="0"/>
          <w:iCs w:val="0"/>
          <w:caps w:val="0"/>
          <w:color w:val="000000"/>
          <w:spacing w:val="0"/>
          <w:sz w:val="28"/>
          <w:szCs w:val="28"/>
          <w:shd w:val="clear" w:fill="FFFFFF"/>
          <w:lang w:val="en-US" w:eastAsia="zh-CN"/>
        </w:rPr>
        <w:t>这些教师不仅具备丰富的教学经验，更在职业技能领域拥有深厚造诣，为学生提供了优质的教育资源与成长指导。</w:t>
      </w:r>
    </w:p>
    <w:tbl>
      <w:tblPr>
        <w:tblStyle w:val="19"/>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423"/>
        <w:gridCol w:w="1354"/>
        <w:gridCol w:w="1759"/>
        <w:gridCol w:w="1323"/>
        <w:gridCol w:w="1257"/>
      </w:tblGrid>
      <w:tr w14:paraId="24BA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22"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606E45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职务等级</w:t>
            </w:r>
          </w:p>
        </w:tc>
        <w:tc>
          <w:tcPr>
            <w:tcW w:w="1423"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3151D4C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人数</w:t>
            </w:r>
          </w:p>
        </w:tc>
        <w:tc>
          <w:tcPr>
            <w:tcW w:w="1354"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450FE7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占比</w:t>
            </w:r>
          </w:p>
        </w:tc>
        <w:tc>
          <w:tcPr>
            <w:tcW w:w="1759" w:type="dxa"/>
            <w:tcBorders>
              <w:top w:val="single" w:color="4874CB" w:themeColor="accent1" w:sz="6" w:space="0"/>
              <w:left w:val="nil"/>
              <w:bottom w:val="single" w:color="C8D5EF" w:themeColor="accent1" w:themeTint="4C" w:sz="6" w:space="0"/>
              <w:right w:val="nil"/>
            </w:tcBorders>
            <w:shd w:val="clear" w:color="auto" w:fill="FFFFFF"/>
            <w:vAlign w:val="center"/>
          </w:tcPr>
          <w:p w14:paraId="77F1CF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学历</w:t>
            </w:r>
          </w:p>
        </w:tc>
        <w:tc>
          <w:tcPr>
            <w:tcW w:w="1323"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057664D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val="0"/>
                <w:i w:val="0"/>
                <w:color w:val="000000"/>
                <w:kern w:val="2"/>
                <w:sz w:val="24"/>
                <w:szCs w:val="32"/>
                <w:vertAlign w:val="baseline"/>
                <w:lang w:val="en-US" w:eastAsia="zh-CN" w:bidi="ar-SA"/>
              </w:rPr>
            </w:pPr>
            <w:r>
              <w:rPr>
                <w:rFonts w:hint="eastAsia" w:asciiTheme="minorEastAsia" w:hAnsiTheme="minorEastAsia" w:cstheme="minorEastAsia"/>
                <w:b w:val="0"/>
                <w:i w:val="0"/>
                <w:color w:val="000000"/>
                <w:sz w:val="24"/>
                <w:szCs w:val="32"/>
                <w:vertAlign w:val="baseline"/>
                <w:lang w:val="en-US" w:eastAsia="zh-CN"/>
              </w:rPr>
              <w:t>人数</w:t>
            </w:r>
          </w:p>
        </w:tc>
        <w:tc>
          <w:tcPr>
            <w:tcW w:w="1257" w:type="dxa"/>
            <w:tcBorders>
              <w:top w:val="single" w:color="4874CB" w:themeColor="accent1" w:sz="6" w:space="0"/>
              <w:left w:val="nil"/>
              <w:bottom w:val="single" w:color="C8D5EF" w:themeColor="accent1" w:themeTint="4C" w:sz="6" w:space="0"/>
              <w:right w:val="single" w:color="4874CB" w:themeColor="accent1" w:sz="6" w:space="0"/>
            </w:tcBorders>
            <w:shd w:val="clear" w:color="auto" w:fill="FFFFFF"/>
            <w:vAlign w:val="center"/>
          </w:tcPr>
          <w:p w14:paraId="2C3EC3B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val="0"/>
                <w:i w:val="0"/>
                <w:color w:val="000000"/>
                <w:kern w:val="2"/>
                <w:sz w:val="24"/>
                <w:szCs w:val="32"/>
                <w:vertAlign w:val="baseline"/>
                <w:lang w:val="en-US" w:eastAsia="zh-CN" w:bidi="ar-SA"/>
              </w:rPr>
            </w:pPr>
            <w:r>
              <w:rPr>
                <w:rFonts w:hint="eastAsia" w:asciiTheme="minorEastAsia" w:hAnsiTheme="minorEastAsia" w:cstheme="minorEastAsia"/>
                <w:b w:val="0"/>
                <w:i w:val="0"/>
                <w:color w:val="000000"/>
                <w:sz w:val="24"/>
                <w:szCs w:val="32"/>
                <w:vertAlign w:val="baseline"/>
                <w:lang w:val="en-US" w:eastAsia="zh-CN"/>
              </w:rPr>
              <w:t>占比</w:t>
            </w:r>
          </w:p>
        </w:tc>
      </w:tr>
      <w:tr w14:paraId="6F9E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22"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9BAB4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正高级</w:t>
            </w:r>
          </w:p>
        </w:tc>
        <w:tc>
          <w:tcPr>
            <w:tcW w:w="1423"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3E632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c>
          <w:tcPr>
            <w:tcW w:w="135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6721E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c>
          <w:tcPr>
            <w:tcW w:w="1759"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366599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博士</w:t>
            </w:r>
          </w:p>
        </w:tc>
        <w:tc>
          <w:tcPr>
            <w:tcW w:w="1323"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09CFAA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c>
          <w:tcPr>
            <w:tcW w:w="1257"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19DD29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r>
      <w:tr w14:paraId="2DDF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22"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2C5EDF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副高级</w:t>
            </w:r>
          </w:p>
        </w:tc>
        <w:tc>
          <w:tcPr>
            <w:tcW w:w="1423"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D9424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17</w:t>
            </w:r>
          </w:p>
        </w:tc>
        <w:tc>
          <w:tcPr>
            <w:tcW w:w="135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589519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5.52%</w:t>
            </w:r>
          </w:p>
        </w:tc>
        <w:tc>
          <w:tcPr>
            <w:tcW w:w="1759"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16CC864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硕士</w:t>
            </w:r>
          </w:p>
        </w:tc>
        <w:tc>
          <w:tcPr>
            <w:tcW w:w="1323"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333E5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default" w:asciiTheme="minorEastAsia" w:hAnsiTheme="minorEastAsia" w:cstheme="minorEastAsia"/>
                <w:b w:val="0"/>
                <w:i w:val="0"/>
                <w:color w:val="000000"/>
                <w:sz w:val="24"/>
                <w:szCs w:val="32"/>
                <w:vertAlign w:val="baseline"/>
                <w:lang w:val="en-US" w:eastAsia="zh-CN"/>
              </w:rPr>
              <w:t>14</w:t>
            </w:r>
          </w:p>
        </w:tc>
        <w:tc>
          <w:tcPr>
            <w:tcW w:w="1257"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281FFB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4.54%</w:t>
            </w:r>
          </w:p>
        </w:tc>
      </w:tr>
      <w:tr w14:paraId="049C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22"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1B3423E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中级</w:t>
            </w:r>
          </w:p>
        </w:tc>
        <w:tc>
          <w:tcPr>
            <w:tcW w:w="1423"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C68E1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122</w:t>
            </w:r>
          </w:p>
        </w:tc>
        <w:tc>
          <w:tcPr>
            <w:tcW w:w="135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653A0F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39.61%</w:t>
            </w:r>
          </w:p>
        </w:tc>
        <w:tc>
          <w:tcPr>
            <w:tcW w:w="1759"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7FCF3E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本科</w:t>
            </w:r>
          </w:p>
        </w:tc>
        <w:tc>
          <w:tcPr>
            <w:tcW w:w="1323"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915AB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294</w:t>
            </w:r>
          </w:p>
        </w:tc>
        <w:tc>
          <w:tcPr>
            <w:tcW w:w="1257"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0B704A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95.45%</w:t>
            </w:r>
          </w:p>
        </w:tc>
      </w:tr>
      <w:tr w14:paraId="355E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22"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C1AB8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初级</w:t>
            </w:r>
          </w:p>
        </w:tc>
        <w:tc>
          <w:tcPr>
            <w:tcW w:w="1423"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48417D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146</w:t>
            </w:r>
          </w:p>
        </w:tc>
        <w:tc>
          <w:tcPr>
            <w:tcW w:w="1354"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0020906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47.40%</w:t>
            </w:r>
          </w:p>
        </w:tc>
        <w:tc>
          <w:tcPr>
            <w:tcW w:w="1759"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27CACA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专科</w:t>
            </w:r>
          </w:p>
        </w:tc>
        <w:tc>
          <w:tcPr>
            <w:tcW w:w="1323"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60F2A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c>
          <w:tcPr>
            <w:tcW w:w="1257"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381CB6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r>
      <w:tr w14:paraId="632F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422"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178474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32"/>
                <w:vertAlign w:val="baseline"/>
                <w:lang w:val="en-US" w:eastAsia="zh-CN"/>
              </w:rPr>
            </w:pPr>
            <w:r>
              <w:rPr>
                <w:rFonts w:hint="eastAsia" w:asciiTheme="minorEastAsia" w:hAnsiTheme="minorEastAsia" w:cstheme="minorEastAsia"/>
                <w:b/>
                <w:i w:val="0"/>
                <w:color w:val="FFFFFF"/>
                <w:sz w:val="24"/>
                <w:szCs w:val="32"/>
                <w:vertAlign w:val="baseline"/>
                <w:lang w:val="en-US" w:eastAsia="zh-CN"/>
              </w:rPr>
              <w:t>未定等级</w:t>
            </w:r>
          </w:p>
        </w:tc>
        <w:tc>
          <w:tcPr>
            <w:tcW w:w="1423"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09BFFC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23</w:t>
            </w:r>
          </w:p>
        </w:tc>
        <w:tc>
          <w:tcPr>
            <w:tcW w:w="1354"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0F013A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7.47%</w:t>
            </w:r>
          </w:p>
        </w:tc>
        <w:tc>
          <w:tcPr>
            <w:tcW w:w="1759" w:type="dxa"/>
            <w:tcBorders>
              <w:top w:val="single" w:color="C8D5EF" w:themeColor="accent1" w:themeTint="4C" w:sz="6" w:space="0"/>
              <w:left w:val="nil"/>
              <w:bottom w:val="single" w:color="4874CB" w:themeColor="accent1" w:sz="6" w:space="0"/>
              <w:right w:val="nil"/>
            </w:tcBorders>
            <w:shd w:val="clear" w:color="auto" w:fill="FFFFFF"/>
            <w:vAlign w:val="center"/>
          </w:tcPr>
          <w:p w14:paraId="005ACB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高中阶段以下</w:t>
            </w:r>
          </w:p>
        </w:tc>
        <w:tc>
          <w:tcPr>
            <w:tcW w:w="1323"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66F987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c>
          <w:tcPr>
            <w:tcW w:w="1257" w:type="dxa"/>
            <w:tcBorders>
              <w:top w:val="single" w:color="C8D5EF" w:themeColor="accent1" w:themeTint="4C" w:sz="6" w:space="0"/>
              <w:left w:val="nil"/>
              <w:bottom w:val="single" w:color="4874CB" w:themeColor="accent1" w:sz="6" w:space="0"/>
              <w:right w:val="single" w:color="4874CB" w:themeColor="accent1" w:sz="6" w:space="0"/>
            </w:tcBorders>
            <w:shd w:val="clear" w:color="auto" w:fill="FFFFFF"/>
            <w:vAlign w:val="center"/>
          </w:tcPr>
          <w:p w14:paraId="1BC1E0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32"/>
                <w:vertAlign w:val="baseline"/>
                <w:lang w:val="en-US" w:eastAsia="zh-CN"/>
              </w:rPr>
            </w:pPr>
            <w:r>
              <w:rPr>
                <w:rFonts w:hint="eastAsia" w:asciiTheme="minorEastAsia" w:hAnsiTheme="minorEastAsia" w:cstheme="minorEastAsia"/>
                <w:b w:val="0"/>
                <w:i w:val="0"/>
                <w:color w:val="000000"/>
                <w:sz w:val="24"/>
                <w:szCs w:val="32"/>
                <w:vertAlign w:val="baseline"/>
                <w:lang w:val="en-US" w:eastAsia="zh-CN"/>
              </w:rPr>
              <w:t>0</w:t>
            </w:r>
          </w:p>
        </w:tc>
      </w:tr>
    </w:tbl>
    <w:p w14:paraId="759205B6">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t xml:space="preserve">表 </w:t>
      </w:r>
      <w:r>
        <w:fldChar w:fldCharType="begin"/>
      </w:r>
      <w:r>
        <w:instrText xml:space="preserve"> SEQ 表 \* ARABIC </w:instrText>
      </w:r>
      <w:r>
        <w:fldChar w:fldCharType="separate"/>
      </w:r>
      <w:r>
        <w:t>6</w:t>
      </w:r>
      <w:r>
        <w:fldChar w:fldCharType="end"/>
      </w:r>
      <w:bookmarkStart w:id="28" w:name="_Toc30355"/>
      <w:r>
        <w:rPr>
          <w:rFonts w:hint="eastAsia"/>
          <w:lang w:eastAsia="zh-CN"/>
        </w:rPr>
        <w:t xml:space="preserve">  六安天河职业中专学校教师职务等级和学历情况一览表</w:t>
      </w:r>
      <w:bookmarkEnd w:id="28"/>
      <w:r>
        <w:rPr>
          <w:rFonts w:hint="eastAsia"/>
          <w:lang w:eastAsia="zh-CN"/>
        </w:rPr>
        <w:t>（</w:t>
      </w:r>
      <w:r>
        <w:rPr>
          <w:rFonts w:hint="eastAsia"/>
          <w:lang w:val="en-US" w:eastAsia="zh-CN"/>
        </w:rPr>
        <w:t>数据来源：教育统计管理信息系统）</w:t>
      </w:r>
    </w:p>
    <w:p w14:paraId="173627AC">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1.3.2队伍建设</w:t>
      </w:r>
    </w:p>
    <w:p w14:paraId="7EBE10C1">
      <w:pPr>
        <w:adjustRightInd w:val="0"/>
        <w:snapToGrid w:val="0"/>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学校始终高度重视师资队伍建设，一直将打造一支师德高尚、业务精湛、知识结构合理的教师队伍作为学校发展的核心竞争力之一，通过强化教师培训，助力教师教育教学水平的提升。</w:t>
      </w:r>
    </w:p>
    <w:p w14:paraId="5AC0718E">
      <w:pPr>
        <w:adjustRightInd w:val="0"/>
        <w:snapToGrid w:val="0"/>
        <w:spacing w:line="360" w:lineRule="auto"/>
        <w:ind w:firstLine="560" w:firstLineChars="200"/>
        <w:jc w:val="left"/>
        <w:rPr>
          <w:rFonts w:hint="eastAsia" w:eastAsiaTheme="minorEastAsia"/>
          <w:lang w:eastAsia="zh-CN"/>
        </w:rPr>
      </w:pPr>
      <w:r>
        <w:rPr>
          <w:rFonts w:hint="eastAsia" w:asciiTheme="minorEastAsia" w:hAnsiTheme="minorEastAsia"/>
          <w:sz w:val="28"/>
          <w:szCs w:val="28"/>
          <w:lang w:val="en-US" w:eastAsia="zh-CN"/>
        </w:rPr>
        <w:t>学校以提升教师综合能力为核心抓手，鼓励教师持续自我提升。在校本培训层面，构建了长远规划与年度安排相结合的体系，并积极支持教师参与省市级骨干教师培训项目。通过这些举措，教师在职业道德修养、教育实践能力、课堂教学水平及现代信息技术应用能力等综合素养方面均取得了显著提升。</w:t>
      </w:r>
    </w:p>
    <w:p w14:paraId="09317B2E">
      <w:pPr>
        <w:adjustRightInd w:val="0"/>
        <w:snapToGrid w:val="0"/>
        <w:spacing w:line="360" w:lineRule="auto"/>
        <w:ind w:firstLine="560" w:firstLineChars="200"/>
        <w:jc w:val="left"/>
        <w:rPr>
          <w:rFonts w:hint="eastAsia" w:eastAsiaTheme="minorEastAsia"/>
          <w:lang w:eastAsia="zh-CN"/>
        </w:rPr>
      </w:pPr>
      <w:r>
        <w:rPr>
          <w:rFonts w:hint="eastAsia" w:asciiTheme="minorEastAsia" w:hAnsiTheme="minorEastAsia"/>
          <w:sz w:val="28"/>
          <w:szCs w:val="28"/>
          <w:lang w:val="en-US" w:eastAsia="zh-CN"/>
        </w:rPr>
        <w:t>同时，学校积极推进教学模式改革。针对年轻教师占比较高、教学经验相对不足的情况，学校一方面加强教师培训力度，依据各学科专业特点重新调整教研组与备课组设置，着力提升教师业务能力；另一方面，系统性组织新入职教师参与岗前培训，同步开展全员校本培训及教师素质素养与能力提升专项培训。</w:t>
      </w:r>
    </w:p>
    <w:p w14:paraId="7199088E">
      <w:pPr>
        <w:adjustRightInd w:val="0"/>
        <w:snapToGrid w:val="0"/>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此外，学校注重发挥骨干教师的示范引领作用，定期开展教学观摩、说课评课和教研沙龙活动，促进新老教师之间的经验交流与传承。通过“青蓝工程”结对帮扶机制，助力青年教师快速成长。2025年，学校进一步优化培训内容与形式，全面提升教师信息化素养与创新能力，为教学质量持续提升提供坚实保障。</w:t>
      </w:r>
    </w:p>
    <w:p w14:paraId="6BEFB0E3">
      <w:pPr>
        <w:adjustRightInd w:val="0"/>
        <w:snapToGrid w:val="0"/>
        <w:spacing w:line="360" w:lineRule="auto"/>
        <w:ind w:firstLine="560" w:firstLineChars="200"/>
        <w:jc w:val="left"/>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在此基础上，学校进一步强化教师科研能力培养，鼓励教师积极参与课题研究与教学成果培育。2025年，在全区中小学优质课评选活动中，学校共有40名教师获奖，其中一等奖11人、二等奖18人、三等奖11人。值得一提的是，代表裕安区晋级市级比赛的8名教师全部获奖，其中一等奖2人、三等奖6人，这一成绩充分彰显了教师队伍的专业实力与教学风采。</w:t>
      </w:r>
    </w:p>
    <w:p w14:paraId="6919925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华文楷体" w:hAnsi="华文楷体" w:eastAsia="华文楷体" w:cs="华文楷体"/>
          <w:sz w:val="28"/>
          <w:szCs w:val="28"/>
          <w:lang w:val="en-US" w:eastAsia="zh-CN"/>
        </w:rPr>
      </w:pPr>
      <w:r>
        <w:rPr>
          <w:rFonts w:hint="eastAsia" w:ascii="华文楷体" w:hAnsi="华文楷体" w:eastAsia="华文楷体" w:cs="华文楷体"/>
          <w:sz w:val="28"/>
          <w:szCs w:val="28"/>
          <w:lang w:val="en-US" w:eastAsia="zh-CN"/>
        </w:rPr>
        <w:drawing>
          <wp:inline distT="0" distB="0" distL="114300" distR="114300">
            <wp:extent cx="5194935" cy="3671570"/>
            <wp:effectExtent l="0" t="0" r="5715" b="5080"/>
            <wp:docPr id="37" name="图片 37" descr="81f582189a13218f32fafd19b964d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1f582189a13218f32fafd19b964dd40"/>
                    <pic:cNvPicPr>
                      <a:picLocks noChangeAspect="1"/>
                    </pic:cNvPicPr>
                  </pic:nvPicPr>
                  <pic:blipFill>
                    <a:blip r:embed="rId11"/>
                    <a:srcRect l="9585" t="12029" r="11469" b="12600"/>
                    <a:stretch>
                      <a:fillRect/>
                    </a:stretch>
                  </pic:blipFill>
                  <pic:spPr>
                    <a:xfrm>
                      <a:off x="0" y="0"/>
                      <a:ext cx="5194935" cy="3671570"/>
                    </a:xfrm>
                    <a:prstGeom prst="rect">
                      <a:avLst/>
                    </a:prstGeom>
                  </pic:spPr>
                </pic:pic>
              </a:graphicData>
            </a:graphic>
          </wp:inline>
        </w:drawing>
      </w:r>
    </w:p>
    <w:p w14:paraId="5BF77891">
      <w:pPr>
        <w:pStyle w:val="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华文楷体" w:hAnsi="华文楷体" w:eastAsia="黑体" w:cs="华文楷体"/>
          <w:sz w:val="28"/>
          <w:szCs w:val="28"/>
          <w:lang w:val="en-US" w:eastAsia="zh-CN"/>
        </w:rPr>
      </w:pPr>
      <w:r>
        <w:t xml:space="preserve">图 </w:t>
      </w:r>
      <w:r>
        <w:fldChar w:fldCharType="begin"/>
      </w:r>
      <w:r>
        <w:instrText xml:space="preserve"> SEQ 图 \* ARABIC </w:instrText>
      </w:r>
      <w:r>
        <w:fldChar w:fldCharType="separate"/>
      </w:r>
      <w:r>
        <w:t>5</w:t>
      </w:r>
      <w:r>
        <w:fldChar w:fldCharType="end"/>
      </w:r>
      <w:bookmarkStart w:id="29" w:name="_Toc21051"/>
      <w:r>
        <w:rPr>
          <w:rFonts w:hint="eastAsia"/>
          <w:lang w:val="en-US" w:eastAsia="zh-CN"/>
        </w:rPr>
        <w:t xml:space="preserve">  龚辉老师荣获全国一等奖（典型案例）荣誉证书</w:t>
      </w:r>
      <w:bookmarkEnd w:id="29"/>
    </w:p>
    <w:p w14:paraId="4AB1B9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default" w:asciiTheme="minorEastAsia" w:hAnsiTheme="minorEastAsia"/>
          <w:sz w:val="28"/>
          <w:szCs w:val="28"/>
          <w:lang w:val="en-US" w:eastAsia="zh-CN"/>
        </w:rPr>
      </w:pPr>
      <w:r>
        <w:rPr>
          <w:rFonts w:hint="eastAsia" w:asciiTheme="minorEastAsia" w:hAnsiTheme="minorEastAsia"/>
          <w:sz w:val="28"/>
          <w:szCs w:val="28"/>
          <w:lang w:val="en-US" w:eastAsia="zh-CN"/>
        </w:rPr>
        <w:t>2025年，龚辉老师凭借创新的教学设计与扎实的专业功底，在全国中等职业学校公共基础课教师教学设计与展示活动中荣获语文组一等奖。作为安徽省唯一获此殊荣的语文组选手，他为学校实现了历史性突破。这一荣誉不仅彰显了龚辉老师卓越的教学能力，更印证了学校长期秉持的“以研促教、教研相长”理念所取得的显著成效。</w:t>
      </w:r>
    </w:p>
    <w:p w14:paraId="539DFF75">
      <w:pPr>
        <w:pStyle w:val="11"/>
        <w:keepNext w:val="0"/>
        <w:keepLines w:val="0"/>
        <w:pageBreakBefore w:val="0"/>
        <w:widowControl w:val="0"/>
        <w:kinsoku/>
        <w:wordWrap/>
        <w:overflowPunct/>
        <w:topLinePunct w:val="0"/>
        <w:autoSpaceDE/>
        <w:autoSpaceDN/>
        <w:bidi w:val="0"/>
        <w:adjustRightInd/>
        <w:snapToGrid w:val="0"/>
        <w:spacing w:line="360" w:lineRule="auto"/>
        <w:ind w:firstLine="561" w:firstLineChars="200"/>
        <w:textAlignment w:val="auto"/>
        <w:rPr>
          <w:rFonts w:hint="eastAsia" w:ascii="华文楷体" w:hAnsi="华文楷体" w:eastAsia="华文楷体" w:cs="华文楷体"/>
          <w:b/>
          <w:bCs/>
          <w:sz w:val="28"/>
          <w:szCs w:val="28"/>
          <w:lang w:val="en-US" w:eastAsia="zh-CN"/>
        </w:rPr>
      </w:pPr>
      <w:r>
        <w:rPr>
          <w:rFonts w:hint="eastAsia" w:ascii="华文楷体" w:hAnsi="华文楷体" w:eastAsia="华文楷体" w:cs="华文楷体"/>
          <w:b/>
          <w:bCs/>
          <w:sz w:val="28"/>
          <w:szCs w:val="28"/>
        </w:rPr>
        <w:t xml:space="preserve">案例 </w:t>
      </w:r>
      <w:r>
        <w:rPr>
          <w:rFonts w:hint="eastAsia" w:ascii="华文楷体" w:hAnsi="华文楷体" w:eastAsia="华文楷体" w:cs="华文楷体"/>
          <w:b/>
          <w:bCs/>
          <w:sz w:val="28"/>
          <w:szCs w:val="28"/>
        </w:rPr>
        <w:fldChar w:fldCharType="begin"/>
      </w:r>
      <w:r>
        <w:rPr>
          <w:rFonts w:hint="eastAsia" w:ascii="华文楷体" w:hAnsi="华文楷体" w:eastAsia="华文楷体" w:cs="华文楷体"/>
          <w:b/>
          <w:bCs/>
          <w:sz w:val="28"/>
          <w:szCs w:val="28"/>
        </w:rPr>
        <w:instrText xml:space="preserve"> SEQ 案例 \* ARABIC </w:instrText>
      </w:r>
      <w:r>
        <w:rPr>
          <w:rFonts w:hint="eastAsia" w:ascii="华文楷体" w:hAnsi="华文楷体" w:eastAsia="华文楷体" w:cs="华文楷体"/>
          <w:b/>
          <w:bCs/>
          <w:sz w:val="28"/>
          <w:szCs w:val="28"/>
        </w:rPr>
        <w:fldChar w:fldCharType="separate"/>
      </w:r>
      <w:r>
        <w:rPr>
          <w:rFonts w:hint="eastAsia" w:ascii="华文楷体" w:hAnsi="华文楷体" w:eastAsia="华文楷体" w:cs="华文楷体"/>
          <w:b/>
          <w:bCs/>
          <w:sz w:val="28"/>
          <w:szCs w:val="28"/>
        </w:rPr>
        <w:t>2</w:t>
      </w:r>
      <w:r>
        <w:rPr>
          <w:rFonts w:hint="eastAsia" w:ascii="华文楷体" w:hAnsi="华文楷体" w:eastAsia="华文楷体" w:cs="华文楷体"/>
          <w:b/>
          <w:bCs/>
          <w:sz w:val="28"/>
          <w:szCs w:val="28"/>
        </w:rPr>
        <w:fldChar w:fldCharType="end"/>
      </w:r>
      <w:bookmarkStart w:id="30" w:name="_Toc4594"/>
      <w:r>
        <w:rPr>
          <w:rFonts w:hint="eastAsia" w:ascii="华文楷体" w:hAnsi="华文楷体" w:eastAsia="华文楷体" w:cs="华文楷体"/>
          <w:b/>
          <w:bCs/>
          <w:sz w:val="28"/>
          <w:szCs w:val="28"/>
          <w:lang w:eastAsia="zh-CN"/>
        </w:rPr>
        <w:t xml:space="preserve">  匠心融艺育桃李 </w:t>
      </w:r>
      <w:bookmarkEnd w:id="30"/>
      <w:r>
        <w:rPr>
          <w:rFonts w:hint="eastAsia" w:ascii="华文楷体" w:hAnsi="华文楷体" w:eastAsia="华文楷体" w:cs="华文楷体"/>
          <w:b/>
          <w:bCs/>
          <w:sz w:val="28"/>
          <w:szCs w:val="28"/>
          <w:lang w:eastAsia="zh-CN"/>
        </w:rPr>
        <w:t>妙笔生花夺桂冠</w:t>
      </w:r>
    </w:p>
    <w:p w14:paraId="77CAE80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华文楷体" w:hAnsi="华文楷体" w:eastAsia="华文楷体" w:cs="华文楷体"/>
          <w:sz w:val="28"/>
          <w:szCs w:val="28"/>
          <w:lang w:val="en-US" w:eastAsia="zh-CN"/>
        </w:rPr>
      </w:pPr>
      <w:r>
        <w:rPr>
          <w:rFonts w:hint="eastAsia" w:ascii="华文楷体" w:hAnsi="华文楷体" w:eastAsia="华文楷体" w:cs="华文楷体"/>
          <w:sz w:val="28"/>
          <w:szCs w:val="28"/>
          <w:lang w:val="en-US" w:eastAsia="zh-CN"/>
        </w:rPr>
        <w:t>六安天河职业中专学校党员教师龚辉在由教育部职业教育发展中心主办、高等教育出版社承办的2025年全国中等职业学校公共基础课教师教学设计与展示活动中，凭借出色的教学设计与稳健的现场表现，荣获语文组全国一等奖（典型案例），成为安徽省语文组别中唯一获此殊荣的选手。</w:t>
      </w:r>
    </w:p>
    <w:p w14:paraId="69343DDD">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13350" cy="3317875"/>
            <wp:effectExtent l="0" t="0" r="6350" b="15875"/>
            <wp:docPr id="4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IMG_256"/>
                    <pic:cNvPicPr>
                      <a:picLocks noChangeAspect="1"/>
                    </pic:cNvPicPr>
                  </pic:nvPicPr>
                  <pic:blipFill>
                    <a:blip r:embed="rId12"/>
                    <a:srcRect l="17101" t="26619" r="18724" b="22327"/>
                    <a:stretch>
                      <a:fillRect/>
                    </a:stretch>
                  </pic:blipFill>
                  <pic:spPr>
                    <a:xfrm>
                      <a:off x="0" y="0"/>
                      <a:ext cx="5213350" cy="3317875"/>
                    </a:xfrm>
                    <a:prstGeom prst="rect">
                      <a:avLst/>
                    </a:prstGeom>
                    <a:noFill/>
                    <a:ln w="9525">
                      <a:noFill/>
                    </a:ln>
                  </pic:spPr>
                </pic:pic>
              </a:graphicData>
            </a:graphic>
          </wp:inline>
        </w:drawing>
      </w:r>
    </w:p>
    <w:p w14:paraId="3FEAE55D">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6</w:t>
      </w:r>
      <w:r>
        <w:fldChar w:fldCharType="end"/>
      </w:r>
      <w:bookmarkStart w:id="31" w:name="_Toc17265"/>
      <w:r>
        <w:rPr>
          <w:rFonts w:hint="eastAsia"/>
          <w:lang w:val="en-US" w:eastAsia="zh-CN"/>
        </w:rPr>
        <w:t xml:space="preserve">  龚辉老师参加全国决赛留影</w:t>
      </w:r>
      <w:r>
        <w:rPr>
          <w:rFonts w:hint="eastAsia"/>
          <w:lang w:eastAsia="zh-CN"/>
        </w:rPr>
        <w:t xml:space="preserve"> </w:t>
      </w:r>
      <w:bookmarkEnd w:id="31"/>
    </w:p>
    <w:p w14:paraId="7F67A02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ascii="华文楷体" w:hAnsi="华文楷体" w:eastAsia="华文楷体" w:cs="华文楷体"/>
          <w:kern w:val="2"/>
          <w:sz w:val="28"/>
          <w:szCs w:val="28"/>
          <w:lang w:val="en-US" w:eastAsia="zh-CN" w:bidi="ar-SA"/>
        </w:rPr>
      </w:pPr>
      <w:r>
        <w:rPr>
          <w:rFonts w:hint="eastAsia" w:ascii="华文楷体" w:hAnsi="华文楷体" w:eastAsia="华文楷体" w:cs="华文楷体"/>
          <w:kern w:val="2"/>
          <w:sz w:val="28"/>
          <w:szCs w:val="28"/>
          <w:lang w:val="en-US" w:eastAsia="zh-CN" w:bidi="ar-SA"/>
        </w:rPr>
        <w:t>回顾参赛历程，龚辉老师充分展现了新时代职教教师的专业素养与使命担当。2025年5月，六安市中等职业教育优质课评选活动中，他以扎实的教学功底和创新的教学设计，从全市众多优秀教师中脱颖而出，以一等奖第一名的成绩成功晋级省赛。</w:t>
      </w:r>
    </w:p>
    <w:p w14:paraId="64E2159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ascii="宋体" w:hAnsi="宋体" w:eastAsia="宋体" w:cs="宋体"/>
          <w:sz w:val="24"/>
          <w:szCs w:val="24"/>
        </w:rPr>
      </w:pPr>
      <w:r>
        <w:rPr>
          <w:rFonts w:hint="eastAsia" w:ascii="华文楷体" w:hAnsi="华文楷体" w:eastAsia="华文楷体" w:cs="华文楷体"/>
          <w:kern w:val="2"/>
          <w:sz w:val="28"/>
          <w:szCs w:val="28"/>
          <w:lang w:val="en-US" w:eastAsia="zh-CN" w:bidi="ar-SA"/>
        </w:rPr>
        <w:t>2025年5月底，在安徽省中等职业学校优质课现场评选活动中，面对现场抽题、封闭撰写教学设计及有生上课等环节，龚辉老师沉着应战、发挥出色。其课题设计融合多种艺术形式，巧妙运用网络热词激发学生兴趣，构建“感性体验—理性分析—艺术呈现”的渐进式认知路径，有效提升了学生的理解深度与课堂参与度，最终在各地市名师的激烈竞争中斩获省一等奖，顺利入围国赛。</w:t>
      </w:r>
    </w:p>
    <w:p w14:paraId="356AD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181350"/>
            <wp:effectExtent l="0" t="0" r="10160" b="0"/>
            <wp:docPr id="3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IMG_256"/>
                    <pic:cNvPicPr>
                      <a:picLocks noChangeAspect="1"/>
                    </pic:cNvPicPr>
                  </pic:nvPicPr>
                  <pic:blipFill>
                    <a:blip r:embed="rId13"/>
                    <a:stretch>
                      <a:fillRect/>
                    </a:stretch>
                  </pic:blipFill>
                  <pic:spPr>
                    <a:xfrm>
                      <a:off x="0" y="0"/>
                      <a:ext cx="5266690" cy="3181350"/>
                    </a:xfrm>
                    <a:prstGeom prst="rect">
                      <a:avLst/>
                    </a:prstGeom>
                    <a:noFill/>
                    <a:ln w="9525">
                      <a:noFill/>
                    </a:ln>
                  </pic:spPr>
                </pic:pic>
              </a:graphicData>
            </a:graphic>
          </wp:inline>
        </w:drawing>
      </w:r>
    </w:p>
    <w:p w14:paraId="5CAB9753">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lang w:val="en-US" w:eastAsia="zh-CN"/>
        </w:rPr>
      </w:pPr>
      <w:r>
        <w:t xml:space="preserve">图 </w:t>
      </w:r>
      <w:r>
        <w:fldChar w:fldCharType="begin"/>
      </w:r>
      <w:r>
        <w:instrText xml:space="preserve"> SEQ 图 \* ARABIC </w:instrText>
      </w:r>
      <w:r>
        <w:fldChar w:fldCharType="separate"/>
      </w:r>
      <w:r>
        <w:t>7</w:t>
      </w:r>
      <w:r>
        <w:fldChar w:fldCharType="end"/>
      </w:r>
      <w:bookmarkStart w:id="32" w:name="_Toc18616"/>
      <w:r>
        <w:rPr>
          <w:rFonts w:hint="eastAsia"/>
          <w:lang w:val="en-US" w:eastAsia="zh-CN"/>
        </w:rPr>
        <w:t xml:space="preserve">  龚辉老师在公共基础课比赛展示现场</w:t>
      </w:r>
      <w:bookmarkEnd w:id="32"/>
    </w:p>
    <w:p w14:paraId="29C0D8C7">
      <w:pPr>
        <w:keepNext w:val="0"/>
        <w:keepLines w:val="0"/>
        <w:pageBreakBefore w:val="0"/>
        <w:widowControl w:val="0"/>
        <w:kinsoku/>
        <w:wordWrap/>
        <w:overflowPunct/>
        <w:topLinePunct w:val="0"/>
        <w:autoSpaceDE/>
        <w:autoSpaceDN/>
        <w:bidi w:val="0"/>
        <w:adjustRightInd/>
        <w:snapToGrid w:val="0"/>
        <w:spacing w:line="360" w:lineRule="auto"/>
        <w:ind w:leftChars="0" w:firstLine="560" w:firstLineChars="200"/>
        <w:jc w:val="both"/>
        <w:textAlignment w:val="auto"/>
        <w:rPr>
          <w:rFonts w:hint="eastAsia" w:ascii="华文楷体" w:hAnsi="华文楷体" w:eastAsia="华文楷体" w:cs="华文楷体"/>
          <w:kern w:val="2"/>
          <w:sz w:val="28"/>
          <w:szCs w:val="28"/>
          <w:lang w:val="en-US" w:eastAsia="zh-CN" w:bidi="ar-SA"/>
        </w:rPr>
      </w:pPr>
      <w:r>
        <w:rPr>
          <w:rFonts w:hint="eastAsia" w:ascii="华文楷体" w:hAnsi="华文楷体" w:eastAsia="华文楷体" w:cs="华文楷体"/>
          <w:kern w:val="2"/>
          <w:sz w:val="28"/>
          <w:szCs w:val="28"/>
          <w:lang w:val="en-US" w:eastAsia="zh-CN" w:bidi="ar-SA"/>
        </w:rPr>
        <w:t>全国决赛阶段，龚辉老师以《在多种艺术形式中感受古典诗歌作者复杂情感》为课题，聚焦语文学科核心素养，通过数字化预习、立体化学习路径构建、情感脉络认知梳理等多层次融合策略，创新运用AI画像、感官肢体语言、角色扮演视频等教学手段，打造出以学生为中心的高效课堂。在微课展示和现场说课环节，他逻辑清晰、仪态从容、表达生动，充分展现了扎实的专业功底与教学智慧，赢得专家评委高度认可，最终从全国顶尖选手中脱颖而出，荣获语文组全国一等奖（典型案例）。</w:t>
      </w:r>
    </w:p>
    <w:p w14:paraId="0E1C9D8B">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33" w:name="_Toc14271"/>
      <w:bookmarkStart w:id="34" w:name="_Toc19628"/>
      <w:bookmarkStart w:id="35" w:name="_Toc12180"/>
      <w:r>
        <w:rPr>
          <w:rFonts w:hint="eastAsia" w:ascii="黑体" w:hAnsi="黑体" w:eastAsia="黑体" w:cs="黑体"/>
          <w:sz w:val="32"/>
          <w:szCs w:val="32"/>
          <w:lang w:val="en-US" w:eastAsia="zh-CN"/>
        </w:rPr>
        <w:t>2.人才培养</w:t>
      </w:r>
      <w:bookmarkEnd w:id="33"/>
      <w:bookmarkEnd w:id="34"/>
      <w:bookmarkEnd w:id="35"/>
    </w:p>
    <w:p w14:paraId="3C255D9D">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36" w:name="_Toc31239"/>
      <w:bookmarkStart w:id="37" w:name="_Toc29432"/>
      <w:bookmarkStart w:id="38" w:name="_Toc4723"/>
      <w:r>
        <w:rPr>
          <w:rFonts w:hint="eastAsia" w:ascii="黑体" w:hAnsi="黑体" w:eastAsia="黑体" w:cs="黑体"/>
          <w:lang w:val="en-US" w:eastAsia="zh-CN"/>
        </w:rPr>
        <w:t>2.1立德树人</w:t>
      </w:r>
      <w:bookmarkEnd w:id="36"/>
      <w:bookmarkEnd w:id="37"/>
      <w:bookmarkEnd w:id="38"/>
    </w:p>
    <w:p w14:paraId="4C264962">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2.1.1“三全育人”工作情况</w:t>
      </w:r>
    </w:p>
    <w:p w14:paraId="45386AC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学校切实落实立德树人根本任务，夯实基础、聚焦重点、健全规范、压实责任，一体化构建内容完善、标准健全、运行科学、保障有力、成效显著的思想政治工作体系，着力形成全员、全过程、全方位育人格局。学校以党建带团建组织育人为引领，持续优化课程、文化、心理育人方式，同步强化文化、网络、心理、管理、服务、资助育人工作，逐步构建起具有自身特色的“三全育人”工作体系。</w:t>
      </w:r>
    </w:p>
    <w:p w14:paraId="7D41FE9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统筹推进课程育人工作，制定并落实以“课程思政”为导向的课堂教学改革方案，优化课程设置，确保所有课程均符合“大思政课”建设要求。深入挖掘各门课程所蕴含的思政元素，将社会主义核心价值观融入教育教学全过程，实现知识传授与价值引领的同频共振。</w:t>
      </w:r>
    </w:p>
    <w:p w14:paraId="044B83B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511550"/>
            <wp:effectExtent l="0" t="0" r="10160" b="12700"/>
            <wp:docPr id="3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6"/>
                    <pic:cNvPicPr>
                      <a:picLocks noChangeAspect="1"/>
                    </pic:cNvPicPr>
                  </pic:nvPicPr>
                  <pic:blipFill>
                    <a:blip r:embed="rId14"/>
                    <a:stretch>
                      <a:fillRect/>
                    </a:stretch>
                  </pic:blipFill>
                  <pic:spPr>
                    <a:xfrm>
                      <a:off x="0" y="0"/>
                      <a:ext cx="5266690" cy="3511550"/>
                    </a:xfrm>
                    <a:prstGeom prst="rect">
                      <a:avLst/>
                    </a:prstGeom>
                    <a:noFill/>
                    <a:ln w="9525">
                      <a:noFill/>
                    </a:ln>
                  </pic:spPr>
                </pic:pic>
              </a:graphicData>
            </a:graphic>
          </wp:inline>
        </w:drawing>
      </w:r>
    </w:p>
    <w:p w14:paraId="763DFD12">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8</w:t>
      </w:r>
      <w:r>
        <w:fldChar w:fldCharType="end"/>
      </w:r>
      <w:bookmarkStart w:id="39" w:name="_Toc7714"/>
      <w:r>
        <w:rPr>
          <w:rFonts w:hint="eastAsia"/>
          <w:lang w:val="en-US" w:eastAsia="zh-CN"/>
        </w:rPr>
        <w:t xml:space="preserve">  2025年主题团课上学生在认真做笔记</w:t>
      </w:r>
      <w:bookmarkEnd w:id="39"/>
    </w:p>
    <w:p w14:paraId="6B6F0EA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深入推进文化育人工作，积极开展“优秀传统文化进校园”、校园文化艺术节等德育品牌文化建设活动，稳步推进美丽校园建设。通过打造传统文化体验空间、组织经典诵读与节气民俗实践活动，增强学生的文化认同感与家国情怀。结合重要节日开展爱国主义教育实践活动，推动红色文化融入校园生活。持续推进文明寝室、文明班级、文明社团等“文明细胞”工程建设，营造浸润式育人环境。</w:t>
      </w:r>
    </w:p>
    <w:p w14:paraId="5394A491">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166110"/>
            <wp:effectExtent l="0" t="0" r="0" b="0"/>
            <wp:docPr id="4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IMG_256"/>
                    <pic:cNvPicPr>
                      <a:picLocks noChangeAspect="1"/>
                    </pic:cNvPicPr>
                  </pic:nvPicPr>
                  <pic:blipFill>
                    <a:blip r:embed="rId15"/>
                    <a:srcRect b="19852"/>
                    <a:stretch>
                      <a:fillRect/>
                    </a:stretch>
                  </pic:blipFill>
                  <pic:spPr>
                    <a:xfrm>
                      <a:off x="0" y="0"/>
                      <a:ext cx="5266690" cy="3166110"/>
                    </a:xfrm>
                    <a:prstGeom prst="rect">
                      <a:avLst/>
                    </a:prstGeom>
                    <a:noFill/>
                    <a:ln w="9525">
                      <a:noFill/>
                    </a:ln>
                  </pic:spPr>
                </pic:pic>
              </a:graphicData>
            </a:graphic>
          </wp:inline>
        </w:drawing>
      </w:r>
    </w:p>
    <w:p w14:paraId="04F1E0C1">
      <w:pPr>
        <w:pStyle w:val="1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lang w:val="en-US" w:eastAsia="zh-CN"/>
        </w:rPr>
      </w:pPr>
      <w:r>
        <w:t xml:space="preserve">图 </w:t>
      </w:r>
      <w:r>
        <w:fldChar w:fldCharType="begin"/>
      </w:r>
      <w:r>
        <w:instrText xml:space="preserve"> SEQ 图 \* ARABIC </w:instrText>
      </w:r>
      <w:r>
        <w:fldChar w:fldCharType="separate"/>
      </w:r>
      <w:r>
        <w:t>9</w:t>
      </w:r>
      <w:r>
        <w:fldChar w:fldCharType="end"/>
      </w:r>
      <w:bookmarkStart w:id="40" w:name="_Toc168"/>
      <w:r>
        <w:rPr>
          <w:rFonts w:hint="eastAsia"/>
          <w:lang w:val="en-US" w:eastAsia="zh-CN"/>
        </w:rPr>
        <w:t xml:space="preserve">  学生参加“英雄铸伟业，青春颂华章”主题朗诵比赛</w:t>
      </w:r>
      <w:bookmarkEnd w:id="40"/>
    </w:p>
    <w:p w14:paraId="1E47695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大力推进心理育人工作，坚持育心与育德相融合，开足开齐心理健康课程，着力建设标准化心理咨询室，构建学校、级部、班级三级心理危机预警防控体系。定期开展心理健康筛查与动态跟踪，建立学生心理档案，实施分类辅导与精准干预。结合“5·25”心理健康节开展主题讲座、团体辅导和心理情景剧展演等活动，提升学生心理调适能力与自助意识。</w:t>
      </w:r>
    </w:p>
    <w:p w14:paraId="4637960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扎实推进实践育人工作，积极组织技能大赛、校园艺体大赛等各类专业赛事活动，引导学生在实践过程中锤炼专业技能、涵养道德品格，真正实现知行合一。创新开展网络育人工作，充分利用学校公众号、抖音号等新媒体平台，大力宣传推介学校办学特色及职业教育发展成果。着力强化科研育人工作，加强科研创新平台建设，推动实施科研创新团队培育支持计划，引导广大师生积极参与科技创新团队建设和科研训练项目实践。</w:t>
      </w:r>
    </w:p>
    <w:p w14:paraId="4AF2BAD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切实强化管理育人实效，健全依法治校评价指标体系，深入开展依法治校示范创建活动，修订完善各项规章制度。不断深化服务育人内涵，明确各部门服务育人职能，将解决实际问题与疏导思想困惑相结合，完善后勤、卫生、安全等保障服务体系。全面推进资助育人工作，深入开展励志教育和感恩教育，优化资助工作流程，精准资助校内家庭经济困难学生。</w:t>
      </w:r>
    </w:p>
    <w:p w14:paraId="2E77BF24">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2.1.2 五育并举工作情况</w:t>
      </w:r>
    </w:p>
    <w:p w14:paraId="1CCA9E0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学校积极构建“五育并举”人才培养体系，深化德育、智育、体育、美育与劳育的有机融合，凝聚教育合力，全面推动新时代中等职业学校实践育人工作的创新发展。</w:t>
      </w:r>
    </w:p>
    <w:p w14:paraId="454674C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德育方面，学校制定《学生日常管理规范》，通过常规管理助力学生养成良好行为习惯，同时扎实开展升旗仪式、诚信学校与法治学校创建等活动，深化学生对社会主义核心价值观的理解与践行。智育方面，组织校内技能大赛、风采展示赛及学科知识竞赛等活动，激发学生的学习兴趣与竞争意识。</w:t>
      </w:r>
    </w:p>
    <w:p w14:paraId="38E6E12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智育方面，注重课程内涵建设，强化核心素养培育，推进项目式、探究式学习模式改革，提升学生思维品质与创新能力。结合专业特点深化产教融合，增强学生解决实际问题的能力。持续优化教学评价体系，构建多元动态的学业成长档案，促进学生全面而有个性的发展。</w:t>
      </w:r>
    </w:p>
    <w:p w14:paraId="65F0DA5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体育方面，严格按要求开足开齐体育健康课程，常态化开展早操与大课间操活动；组建篮球、足球两支校级运动队，开设4个体育社团；定期举办校园运动会，并积极组织学生参与各级各类体育赛事，全面提升学生的身体素质与运动技能。</w:t>
      </w:r>
    </w:p>
    <w:p w14:paraId="4C937E2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511550"/>
            <wp:effectExtent l="0" t="0" r="10160" b="12700"/>
            <wp:docPr id="4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IMG_256"/>
                    <pic:cNvPicPr>
                      <a:picLocks noChangeAspect="1"/>
                    </pic:cNvPicPr>
                  </pic:nvPicPr>
                  <pic:blipFill>
                    <a:blip r:embed="rId16"/>
                    <a:stretch>
                      <a:fillRect/>
                    </a:stretch>
                  </pic:blipFill>
                  <pic:spPr>
                    <a:xfrm>
                      <a:off x="0" y="0"/>
                      <a:ext cx="5266690" cy="3511550"/>
                    </a:xfrm>
                    <a:prstGeom prst="rect">
                      <a:avLst/>
                    </a:prstGeom>
                    <a:noFill/>
                    <a:ln w="9525">
                      <a:noFill/>
                    </a:ln>
                  </pic:spPr>
                </pic:pic>
              </a:graphicData>
            </a:graphic>
          </wp:inline>
        </w:drawing>
      </w:r>
    </w:p>
    <w:p w14:paraId="1182F73D">
      <w:pPr>
        <w:pStyle w:val="11"/>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10</w:t>
      </w:r>
      <w:r>
        <w:fldChar w:fldCharType="end"/>
      </w:r>
      <w:bookmarkStart w:id="41" w:name="_Toc22528"/>
      <w:r>
        <w:rPr>
          <w:rFonts w:hint="eastAsia"/>
          <w:lang w:val="en-US" w:eastAsia="zh-CN"/>
        </w:rPr>
        <w:t xml:space="preserve">  </w:t>
      </w:r>
      <w:r>
        <w:rPr>
          <w:rFonts w:hint="eastAsia"/>
          <w:lang w:eastAsia="zh-CN"/>
        </w:rPr>
        <w:t>第十</w:t>
      </w:r>
      <w:r>
        <w:rPr>
          <w:rFonts w:hint="eastAsia"/>
          <w:lang w:val="en-US" w:eastAsia="zh-CN"/>
        </w:rPr>
        <w:t>四</w:t>
      </w:r>
      <w:r>
        <w:rPr>
          <w:rFonts w:hint="eastAsia"/>
          <w:lang w:eastAsia="zh-CN"/>
        </w:rPr>
        <w:t>届田径运动会上</w:t>
      </w:r>
      <w:r>
        <w:rPr>
          <w:rFonts w:hint="eastAsia"/>
          <w:lang w:val="en-US" w:eastAsia="zh-CN"/>
        </w:rPr>
        <w:t>接力瞬间</w:t>
      </w:r>
      <w:bookmarkEnd w:id="41"/>
    </w:p>
    <w:p w14:paraId="3E04AEC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美育方面，学校制定了《美育实施方案》，构建起涵盖通识、专业、实践等模块的综合性美育课程教学体系，并组织开展校园文化艺术节、周年庆书画大赛、传统文化艺术进校园等活动，10余个艺术社团也常态化开展各类活动。</w:t>
      </w:r>
    </w:p>
    <w:p w14:paraId="2BD326A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劳动教育方面，学校围绕寝室、教室、校园、专业实训四个维度，构建全方位劳动教育课程体系，将劳动教育纳入课程教学，常态化组织各类志愿服务与社会实践活动。通过校园卫生包干区责任制、劳动周、职业体验日等形式，强化学生劳动观念与实践能力培养。</w:t>
      </w:r>
    </w:p>
    <w:p w14:paraId="74AA5141">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lang w:val="en-US" w:eastAsia="zh-CN"/>
        </w:rPr>
      </w:pPr>
      <w:r>
        <w:rPr>
          <w:rFonts w:hint="eastAsia" w:ascii="黑体" w:hAnsi="黑体" w:eastAsia="黑体" w:cs="黑体"/>
          <w:lang w:val="en-US" w:eastAsia="zh-CN"/>
        </w:rPr>
        <w:t>2.1.3德育特色活动及品牌德育项目建设情况</w:t>
      </w:r>
    </w:p>
    <w:p w14:paraId="271559A8">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eastAsiaTheme="minorEastAsia"/>
          <w:lang w:eastAsia="zh-CN"/>
        </w:rPr>
      </w:pPr>
      <w:r>
        <w:rPr>
          <w:rFonts w:hint="eastAsia" w:asciiTheme="minorEastAsia" w:hAnsiTheme="minorEastAsia" w:cstheme="minorEastAsia"/>
          <w:b/>
          <w:bCs/>
          <w:sz w:val="28"/>
          <w:szCs w:val="28"/>
          <w:lang w:val="en-US" w:eastAsia="zh-CN"/>
        </w:rPr>
        <w:t>每周开展常规性德育活动。</w:t>
      </w:r>
      <w:r>
        <w:rPr>
          <w:rFonts w:hint="eastAsia" w:asciiTheme="minorEastAsia" w:hAnsiTheme="minorEastAsia" w:cstheme="minorEastAsia"/>
          <w:sz w:val="28"/>
          <w:szCs w:val="28"/>
          <w:lang w:val="en-US" w:eastAsia="zh-CN"/>
        </w:rPr>
        <w:t>每周一举行“国旗下的讲话”活动，表彰先进典型，发挥示范引领作用，助力学生成长进步；定期开播“校园关注”广播节目，弘扬中华优秀传统文化，培育学生优良品德；依托主题班会、课前三分钟德育宣讲等形式，强化学生的理想信念教育、爱国主义教育、安全法治教育与心理健康教育；通过每日激情跑操与晨读活动，帮助学生养成良好学习习惯，营造浓厚学习氛围与积极向上的校风学风。</w:t>
      </w:r>
    </w:p>
    <w:p w14:paraId="4DF30049">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“每月一主题”主题德育活动。</w:t>
      </w:r>
      <w:r>
        <w:rPr>
          <w:rFonts w:hint="default" w:asciiTheme="minorEastAsia" w:hAnsiTheme="minorEastAsia" w:cstheme="minorEastAsia"/>
          <w:sz w:val="28"/>
          <w:szCs w:val="28"/>
          <w:lang w:val="en-US" w:eastAsia="zh-CN"/>
        </w:rPr>
        <w:t>每月结合重要节日、纪念日开展各类主题活动，如元旦迎新晚会、清明红色教育、劳动节进社区、青年节主题团日、端午节经典诵读、建党建军主题演讲、开学第一课、国防教育周、庆国庆爱国教育、传承文明颂中秋、重阳节敬老孝亲等，宣传中华优秀传统文化，激发学生爱国之心，坚定理想信念。</w:t>
      </w:r>
    </w:p>
    <w:p w14:paraId="045EA1E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511550"/>
            <wp:effectExtent l="0" t="0" r="10160" b="12700"/>
            <wp:docPr id="5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IMG_256"/>
                    <pic:cNvPicPr>
                      <a:picLocks noChangeAspect="1"/>
                    </pic:cNvPicPr>
                  </pic:nvPicPr>
                  <pic:blipFill>
                    <a:blip r:embed="rId17"/>
                    <a:stretch>
                      <a:fillRect/>
                    </a:stretch>
                  </pic:blipFill>
                  <pic:spPr>
                    <a:xfrm>
                      <a:off x="0" y="0"/>
                      <a:ext cx="5266690" cy="3511550"/>
                    </a:xfrm>
                    <a:prstGeom prst="rect">
                      <a:avLst/>
                    </a:prstGeom>
                    <a:noFill/>
                    <a:ln w="9525">
                      <a:noFill/>
                    </a:ln>
                  </pic:spPr>
                </pic:pic>
              </a:graphicData>
            </a:graphic>
          </wp:inline>
        </w:drawing>
      </w:r>
    </w:p>
    <w:p w14:paraId="1E6A15DF">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11</w:t>
      </w:r>
      <w:r>
        <w:fldChar w:fldCharType="end"/>
      </w:r>
      <w:bookmarkStart w:id="42" w:name="_Toc17431"/>
      <w:r>
        <w:rPr>
          <w:rFonts w:hint="eastAsia"/>
          <w:lang w:val="en-US" w:eastAsia="zh-CN"/>
        </w:rPr>
        <w:t xml:space="preserve">  国防教育周教官教学生叠被子</w:t>
      </w:r>
      <w:bookmarkEnd w:id="42"/>
    </w:p>
    <w:p w14:paraId="431D31AF">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“三礼五节”特色德育活动。</w:t>
      </w:r>
      <w:r>
        <w:rPr>
          <w:rFonts w:hint="eastAsia" w:asciiTheme="minorEastAsia" w:hAnsiTheme="minorEastAsia" w:cstheme="minorEastAsia"/>
          <w:sz w:val="28"/>
          <w:szCs w:val="28"/>
          <w:lang w:val="en-US" w:eastAsia="zh-CN"/>
        </w:rPr>
        <w:t>学校定期开展开学典礼、高三成人礼、毕业典礼以及校园文化艺术节、体育节、科技节、文化经典诵读节、家校感恩节等特色德育活动，着力培养学生综合素质，塑造良好品格。通过校园歌手大赛、元旦文艺汇演、读书征文比赛、朗诵演讲比赛、书法绘画比赛等活动，充分展示学生艺术特长；借助一年一度的秋季校运会、足球与篮球联赛、拔河比赛等体育项目，有效锻炼学生体魄，增强集体凝聚力。</w:t>
      </w:r>
    </w:p>
    <w:p w14:paraId="0B10E386">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eastAsiaTheme="minorEastAsia"/>
          <w:lang w:eastAsia="zh-CN"/>
        </w:rPr>
      </w:pPr>
      <w:r>
        <w:rPr>
          <w:rFonts w:hint="eastAsia" w:asciiTheme="minorEastAsia" w:hAnsiTheme="minorEastAsia" w:cstheme="minorEastAsia"/>
          <w:b/>
          <w:bCs/>
          <w:sz w:val="28"/>
          <w:szCs w:val="28"/>
          <w:lang w:val="en-US" w:eastAsia="zh-CN"/>
        </w:rPr>
        <w:t>“环淠河30华里远足”等品牌德育活动。</w:t>
      </w:r>
      <w:r>
        <w:rPr>
          <w:rFonts w:hint="eastAsia" w:asciiTheme="minorEastAsia" w:hAnsiTheme="minorEastAsia" w:cstheme="minorEastAsia"/>
          <w:sz w:val="28"/>
          <w:szCs w:val="28"/>
          <w:lang w:val="en-US" w:eastAsia="zh-CN"/>
        </w:rPr>
        <w:t>每年春季举办的“环淠河30华里远足”活动，着力磨练学生的坚强意志，同步培养其环保意识；不定期开展的“皋风大讲堂”系列讲座，有效拓展学生视野，厚植家国情怀；校团委常态化组织“党员教师上团课”“百年团史青年说”等活动，学校还连续多年承办裕安区“五四主题团日”活动，以此点燃学生信仰之光，引导他们勇担青春使命；此外，每年定期开展的系列研学活动，进一步开阔学生视野，丰富其文化生活。</w:t>
      </w:r>
    </w:p>
    <w:p w14:paraId="1D554847">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rPr>
          <w:rFonts w:hint="eastAsia" w:eastAsiaTheme="minorEastAsia"/>
          <w:lang w:eastAsia="zh-CN"/>
        </w:rPr>
      </w:pPr>
      <w:r>
        <w:rPr>
          <w:rFonts w:hint="eastAsia" w:asciiTheme="minorEastAsia" w:hAnsiTheme="minorEastAsia" w:cstheme="minorEastAsia"/>
          <w:b/>
          <w:bCs/>
          <w:sz w:val="28"/>
          <w:szCs w:val="28"/>
          <w:lang w:val="en-US" w:eastAsia="zh-CN"/>
        </w:rPr>
        <w:t>丰富多彩的校园活动。</w:t>
      </w:r>
      <w:r>
        <w:rPr>
          <w:rFonts w:hint="eastAsia" w:asciiTheme="minorEastAsia" w:hAnsiTheme="minorEastAsia" w:cstheme="minorEastAsia"/>
          <w:sz w:val="28"/>
          <w:szCs w:val="28"/>
          <w:lang w:val="en-US" w:eastAsia="zh-CN"/>
        </w:rPr>
        <w:t>学校组建了文学、球类、棋类、舞蹈、绘画、音乐、武术、跳绳、社会实践等十余个社团组织。通过在课后开展丰富多彩的社团活动，营造出积极向上、生动活泼的校园文化氛围。同学们兴趣盎然，乐在其中，在活动中发现并培养自己多方面的兴趣、能力与创造力，对良好心理品质的形成起到潜移默化的促进作用。</w:t>
      </w:r>
    </w:p>
    <w:p w14:paraId="0F8A1E0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经过多年发展，学校已构建起涵盖每周常规德育活动、“每月一主题”主题德育活动、“三礼五节”特色德育活动及“环淠河30华里远足”等品牌德育活动的完整德育体系。在抓实德育工作的基础上，学校坚持五育并举，积极开展丰富多彩的校园活动，以此充实学生精神生活、发展学生个性特长，促进学生德智体美劳全面发展。</w:t>
      </w:r>
    </w:p>
    <w:p w14:paraId="22FA8C0A">
      <w:pPr>
        <w:pStyle w:val="11"/>
        <w:keepNext w:val="0"/>
        <w:keepLines w:val="0"/>
        <w:pageBreakBefore w:val="0"/>
        <w:widowControl w:val="0"/>
        <w:kinsoku/>
        <w:wordWrap/>
        <w:overflowPunct/>
        <w:topLinePunct w:val="0"/>
        <w:autoSpaceDE/>
        <w:autoSpaceDN/>
        <w:bidi w:val="0"/>
        <w:adjustRightInd/>
        <w:snapToGrid w:val="0"/>
        <w:spacing w:line="360" w:lineRule="auto"/>
        <w:ind w:firstLine="561" w:firstLineChars="200"/>
        <w:textAlignment w:val="auto"/>
        <w:rPr>
          <w:rFonts w:hint="eastAsia" w:ascii="华文楷体" w:hAnsi="华文楷体" w:eastAsia="华文楷体" w:cs="华文楷体"/>
          <w:b/>
          <w:bCs/>
          <w:sz w:val="28"/>
          <w:szCs w:val="28"/>
          <w:lang w:val="en-US" w:eastAsia="zh-CN"/>
        </w:rPr>
      </w:pPr>
      <w:r>
        <w:rPr>
          <w:rFonts w:hint="eastAsia" w:ascii="华文楷体" w:hAnsi="华文楷体" w:eastAsia="华文楷体" w:cs="华文楷体"/>
          <w:b/>
          <w:bCs/>
          <w:sz w:val="28"/>
          <w:szCs w:val="28"/>
        </w:rPr>
        <w:t xml:space="preserve">案例 </w:t>
      </w:r>
      <w:bookmarkStart w:id="43" w:name="_Toc10691"/>
      <w:r>
        <w:rPr>
          <w:rFonts w:hint="eastAsia" w:ascii="华文楷体" w:hAnsi="华文楷体" w:eastAsia="华文楷体" w:cs="华文楷体"/>
          <w:b/>
          <w:bCs/>
          <w:sz w:val="28"/>
          <w:szCs w:val="28"/>
          <w:lang w:val="en-US" w:eastAsia="zh-CN"/>
        </w:rPr>
        <w:t>3</w:t>
      </w:r>
      <w:r>
        <w:rPr>
          <w:rFonts w:hint="eastAsia" w:ascii="华文楷体" w:hAnsi="华文楷体" w:eastAsia="华文楷体" w:cs="华文楷体"/>
          <w:b/>
          <w:bCs/>
          <w:sz w:val="28"/>
          <w:szCs w:val="28"/>
          <w:lang w:eastAsia="zh-CN"/>
        </w:rPr>
        <w:t xml:space="preserve">  十八而立，扬帆逐梦</w:t>
      </w:r>
      <w:bookmarkEnd w:id="43"/>
    </w:p>
    <w:p w14:paraId="43B21C4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eastAsia" w:eastAsiaTheme="minorEastAsia"/>
          <w:lang w:eastAsia="zh-CN"/>
        </w:rPr>
      </w:pPr>
      <w:r>
        <w:rPr>
          <w:rFonts w:hint="eastAsia" w:ascii="华文楷体" w:hAnsi="华文楷体" w:eastAsia="华文楷体" w:cs="华文楷体"/>
          <w:kern w:val="2"/>
          <w:sz w:val="28"/>
          <w:szCs w:val="28"/>
          <w:lang w:val="en-US" w:eastAsia="zh-CN" w:bidi="ar-SA"/>
        </w:rPr>
        <w:t>2025年2月27日上午，我校举行2025届高三年级成人礼。</w:t>
      </w:r>
      <w:r>
        <w:rPr>
          <w:rFonts w:hint="eastAsia" w:ascii="华文楷体" w:hAnsi="华文楷体" w:eastAsia="华文楷体" w:cs="华文楷体"/>
          <w:sz w:val="28"/>
          <w:szCs w:val="28"/>
          <w:lang w:val="en-US" w:eastAsia="zh-CN"/>
        </w:rPr>
        <w:t>在这场意义非凡的成人礼仪式上，校长张兵向全体高三学子提出了四点殷切期望：其一，应着力塑造积极向上的品格；其二，需明确规划个人的人生目标；其三，要始终保持对世界的好奇心；其四，更要拥有坚韧不拔的精神。</w:t>
      </w:r>
    </w:p>
    <w:p w14:paraId="73C9077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华文楷体" w:hAnsi="华文楷体" w:eastAsia="华文楷体" w:cs="华文楷体"/>
          <w:sz w:val="28"/>
          <w:szCs w:val="28"/>
          <w:lang w:val="en-US" w:eastAsia="zh-CN"/>
        </w:rPr>
      </w:pPr>
      <w:r>
        <w:rPr>
          <w:rFonts w:hint="eastAsia" w:ascii="华文楷体" w:hAnsi="华文楷体" w:eastAsia="华文楷体" w:cs="华文楷体"/>
          <w:sz w:val="28"/>
          <w:szCs w:val="28"/>
          <w:lang w:val="en-US" w:eastAsia="zh-CN"/>
        </w:rPr>
        <w:t>上海交大教育集团执行董事、嘉兴南洋职业技术学院董事长常韶伟以自身求学、发展、奋斗的经历为引，讲述了他如何坚守信念，用数十年光阴跨越现实与理想的鸿沟。一个个真实动人的成长故事和深刻的人生感悟令全体同学获益匪浅，现场掌声经久不息。</w:t>
      </w:r>
    </w:p>
    <w:p w14:paraId="16A7B65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66690" cy="3511550"/>
            <wp:effectExtent l="0" t="0" r="10160" b="12700"/>
            <wp:docPr id="5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IMG_256"/>
                    <pic:cNvPicPr>
                      <a:picLocks noChangeAspect="1"/>
                    </pic:cNvPicPr>
                  </pic:nvPicPr>
                  <pic:blipFill>
                    <a:blip r:embed="rId18"/>
                    <a:stretch>
                      <a:fillRect/>
                    </a:stretch>
                  </pic:blipFill>
                  <pic:spPr>
                    <a:xfrm>
                      <a:off x="0" y="0"/>
                      <a:ext cx="5266690" cy="3511550"/>
                    </a:xfrm>
                    <a:prstGeom prst="rect">
                      <a:avLst/>
                    </a:prstGeom>
                    <a:noFill/>
                    <a:ln w="9525">
                      <a:noFill/>
                    </a:ln>
                  </pic:spPr>
                </pic:pic>
              </a:graphicData>
            </a:graphic>
          </wp:inline>
        </w:drawing>
      </w:r>
    </w:p>
    <w:p w14:paraId="0FB66641">
      <w:pPr>
        <w:pStyle w:val="11"/>
        <w:keepNext w:val="0"/>
        <w:keepLines w:val="0"/>
        <w:pageBreakBefore w:val="0"/>
        <w:widowControl w:val="0"/>
        <w:kinsoku/>
        <w:wordWrap/>
        <w:overflowPunct/>
        <w:topLinePunct w:val="0"/>
        <w:autoSpaceDE/>
        <w:autoSpaceDN/>
        <w:bidi w:val="0"/>
        <w:adjustRightInd/>
        <w:snapToGrid w:val="0"/>
        <w:spacing w:line="360" w:lineRule="auto"/>
        <w:ind w:firstLine="400" w:firstLineChars="20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12</w:t>
      </w:r>
      <w:r>
        <w:fldChar w:fldCharType="end"/>
      </w:r>
      <w:bookmarkStart w:id="44" w:name="_Toc21382"/>
      <w:r>
        <w:rPr>
          <w:rFonts w:hint="eastAsia"/>
          <w:lang w:val="en-US" w:eastAsia="zh-CN"/>
        </w:rPr>
        <w:t xml:space="preserve">  </w:t>
      </w:r>
      <w:r>
        <w:rPr>
          <w:rFonts w:hint="eastAsia"/>
          <w:lang w:eastAsia="zh-CN"/>
        </w:rPr>
        <w:t>成人礼上，班主任为学生戴成人帽</w:t>
      </w:r>
      <w:bookmarkEnd w:id="44"/>
    </w:p>
    <w:p w14:paraId="587FA7B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华文楷体" w:hAnsi="华文楷体" w:eastAsia="华文楷体" w:cs="华文楷体"/>
          <w:sz w:val="28"/>
          <w:szCs w:val="28"/>
          <w:lang w:val="en-US" w:eastAsia="zh-CN"/>
        </w:rPr>
      </w:pPr>
      <w:r>
        <w:rPr>
          <w:rFonts w:hint="eastAsia" w:ascii="华文楷体" w:hAnsi="华文楷体" w:eastAsia="华文楷体" w:cs="华文楷体"/>
          <w:sz w:val="28"/>
          <w:szCs w:val="28"/>
          <w:lang w:val="en-US" w:eastAsia="zh-CN"/>
        </w:rPr>
        <w:t>十八响悠长的钟声在体育馆上空回荡，既象征着学子们走过的十八载春秋，也标志着他们正式步入成年。台上，领导与全体高三班主任、教师共同为学生佩戴成人帽。这一仪式既是对过往岁月的深情纪念，更是对他们未来的殷切激励，提醒着他们在人生道路上要坚定信念、勇往直前。</w:t>
      </w:r>
    </w:p>
    <w:p w14:paraId="007105F1">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lang w:val="en-US" w:eastAsia="zh-CN"/>
        </w:rPr>
      </w:pPr>
      <w:r>
        <w:rPr>
          <w:rFonts w:hint="eastAsia" w:ascii="黑体" w:hAnsi="黑体" w:eastAsia="黑体" w:cs="黑体"/>
          <w:lang w:val="en-US" w:eastAsia="zh-CN"/>
        </w:rPr>
        <w:t>2.1.4保障措施</w:t>
      </w:r>
    </w:p>
    <w:p w14:paraId="76B45CE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both"/>
        <w:textAlignment w:val="auto"/>
        <w:rPr>
          <w:rFonts w:hint="default" w:asciiTheme="minorEastAsia" w:hAnsiTheme="minorEastAsia"/>
          <w:color w:val="auto"/>
          <w:sz w:val="28"/>
          <w:szCs w:val="28"/>
          <w:lang w:val="en-US" w:eastAsia="zh-CN"/>
        </w:rPr>
      </w:pPr>
      <w:r>
        <w:rPr>
          <w:rFonts w:hint="eastAsia" w:ascii="宋体" w:hAnsi="宋体" w:eastAsia="宋体" w:cs="Times New Roman"/>
          <w:kern w:val="2"/>
          <w:sz w:val="28"/>
          <w:szCs w:val="28"/>
          <w:lang w:val="en-US" w:eastAsia="zh-CN" w:bidi="ar-SA"/>
        </w:rPr>
        <w:t>为确保学校德育工作有效开展，校长室设立德育副校长，统筹学生德育工作；政教处设主任和副主任，负责德育活动的组织与监督；各年级部设副主任，具体落实本年级德育工作。学校现有114个教学班，每班配备一名专职班主任；</w:t>
      </w:r>
      <w:r>
        <w:rPr>
          <w:rFonts w:hint="eastAsia" w:asciiTheme="minorEastAsia" w:hAnsiTheme="minorEastAsia"/>
          <w:sz w:val="28"/>
          <w:szCs w:val="28"/>
          <w:lang w:val="en-US" w:eastAsia="zh-CN"/>
        </w:rPr>
        <w:t>专任教师共308人，</w:t>
      </w:r>
      <w:r>
        <w:rPr>
          <w:rFonts w:hint="eastAsia" w:asciiTheme="minorEastAsia" w:hAnsiTheme="minorEastAsia"/>
          <w:color w:val="auto"/>
          <w:sz w:val="28"/>
          <w:szCs w:val="28"/>
          <w:lang w:val="en-US" w:eastAsia="zh-CN"/>
        </w:rPr>
        <w:t>其中思政课专任教师20人、体育课专任教师26人、美育课专任教师10人，上述学科专任教师人数较去年均略有增加。（见表7）</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700"/>
        <w:gridCol w:w="1700"/>
        <w:gridCol w:w="1700"/>
        <w:gridCol w:w="1700"/>
      </w:tblGrid>
      <w:tr w14:paraId="519F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699"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838F6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bCs w:val="0"/>
                <w:i w:val="0"/>
                <w:color w:val="FFFFFF"/>
                <w:sz w:val="24"/>
                <w:szCs w:val="24"/>
                <w:vertAlign w:val="baseline"/>
                <w:lang w:val="en-US" w:eastAsia="zh-CN"/>
              </w:rPr>
            </w:pPr>
            <w:r>
              <w:rPr>
                <w:rFonts w:hint="eastAsia" w:asciiTheme="minorEastAsia" w:hAnsiTheme="minorEastAsia" w:cstheme="minorEastAsia"/>
                <w:b/>
                <w:bCs w:val="0"/>
                <w:i w:val="0"/>
                <w:color w:val="FFFFFF"/>
                <w:sz w:val="24"/>
                <w:szCs w:val="24"/>
                <w:vertAlign w:val="baseline"/>
                <w:lang w:val="en-US" w:eastAsia="zh-CN"/>
              </w:rPr>
              <w:t>年度</w:t>
            </w:r>
          </w:p>
        </w:tc>
        <w:tc>
          <w:tcPr>
            <w:tcW w:w="1700"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33A71D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班主任</w:t>
            </w:r>
          </w:p>
        </w:tc>
        <w:tc>
          <w:tcPr>
            <w:tcW w:w="1700"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07E29DB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思政教师</w:t>
            </w:r>
          </w:p>
        </w:tc>
        <w:tc>
          <w:tcPr>
            <w:tcW w:w="1700" w:type="dxa"/>
            <w:tcBorders>
              <w:top w:val="single" w:color="4874CB" w:themeColor="accent1" w:sz="6" w:space="0"/>
              <w:left w:val="nil"/>
              <w:bottom w:val="single" w:color="C8D5EF" w:themeColor="accent1" w:themeTint="4C" w:sz="6" w:space="0"/>
              <w:right w:val="nil"/>
            </w:tcBorders>
            <w:shd w:val="clear" w:color="auto" w:fill="FFFFFF"/>
            <w:vAlign w:val="center"/>
          </w:tcPr>
          <w:p w14:paraId="7D09B5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体育教师</w:t>
            </w:r>
          </w:p>
        </w:tc>
        <w:tc>
          <w:tcPr>
            <w:tcW w:w="1700"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2193EA7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美育教师</w:t>
            </w:r>
          </w:p>
        </w:tc>
      </w:tr>
      <w:tr w14:paraId="3D64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99"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716D0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bCs w:val="0"/>
                <w:i w:val="0"/>
                <w:color w:val="FFFFFF"/>
                <w:sz w:val="24"/>
                <w:szCs w:val="24"/>
                <w:vertAlign w:val="baseline"/>
                <w:lang w:val="en-US" w:eastAsia="zh-CN"/>
              </w:rPr>
            </w:pPr>
            <w:r>
              <w:rPr>
                <w:rFonts w:hint="eastAsia" w:asciiTheme="minorEastAsia" w:hAnsiTheme="minorEastAsia" w:cstheme="minorEastAsia"/>
                <w:b/>
                <w:bCs w:val="0"/>
                <w:i w:val="0"/>
                <w:color w:val="FFFFFF"/>
                <w:sz w:val="24"/>
                <w:szCs w:val="24"/>
                <w:vertAlign w:val="baseline"/>
                <w:lang w:val="en-US" w:eastAsia="zh-CN"/>
              </w:rPr>
              <w:t>2024年度</w:t>
            </w:r>
          </w:p>
        </w:tc>
        <w:tc>
          <w:tcPr>
            <w:tcW w:w="1700"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24225F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121</w:t>
            </w:r>
          </w:p>
        </w:tc>
        <w:tc>
          <w:tcPr>
            <w:tcW w:w="1700"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1288D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20</w:t>
            </w:r>
          </w:p>
        </w:tc>
        <w:tc>
          <w:tcPr>
            <w:tcW w:w="1700" w:type="dxa"/>
            <w:tcBorders>
              <w:top w:val="single" w:color="C8D5EF" w:themeColor="accent1" w:themeTint="4C" w:sz="6" w:space="0"/>
              <w:left w:val="nil"/>
              <w:bottom w:val="single" w:color="C8D5EF" w:themeColor="accent1" w:themeTint="4C" w:sz="6" w:space="0"/>
              <w:right w:val="nil"/>
            </w:tcBorders>
            <w:shd w:val="clear" w:color="auto" w:fill="FFFFFF"/>
            <w:vAlign w:val="center"/>
          </w:tcPr>
          <w:p w14:paraId="1D5F38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22</w:t>
            </w:r>
          </w:p>
        </w:tc>
        <w:tc>
          <w:tcPr>
            <w:tcW w:w="1700"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6F086D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10</w:t>
            </w:r>
          </w:p>
        </w:tc>
      </w:tr>
      <w:tr w14:paraId="5190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699"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0767D7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bCs w:val="0"/>
                <w:i w:val="0"/>
                <w:color w:val="FFFFFF"/>
                <w:sz w:val="24"/>
                <w:szCs w:val="24"/>
                <w:vertAlign w:val="baseline"/>
                <w:lang w:val="en-US" w:eastAsia="zh-CN"/>
              </w:rPr>
            </w:pPr>
            <w:bookmarkStart w:id="45" w:name="_Toc595"/>
            <w:bookmarkStart w:id="46" w:name="_Toc9612"/>
            <w:r>
              <w:rPr>
                <w:rFonts w:hint="eastAsia" w:asciiTheme="minorEastAsia" w:hAnsiTheme="minorEastAsia" w:cstheme="minorEastAsia"/>
                <w:b/>
                <w:bCs w:val="0"/>
                <w:i w:val="0"/>
                <w:color w:val="FFFFFF"/>
                <w:sz w:val="24"/>
                <w:szCs w:val="24"/>
                <w:vertAlign w:val="baseline"/>
                <w:lang w:val="en-US" w:eastAsia="zh-CN"/>
              </w:rPr>
              <w:t>2025年度</w:t>
            </w:r>
          </w:p>
        </w:tc>
        <w:tc>
          <w:tcPr>
            <w:tcW w:w="1700"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2E36A2A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114</w:t>
            </w:r>
          </w:p>
        </w:tc>
        <w:tc>
          <w:tcPr>
            <w:tcW w:w="1700"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2858E7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20</w:t>
            </w:r>
          </w:p>
        </w:tc>
        <w:tc>
          <w:tcPr>
            <w:tcW w:w="1700" w:type="dxa"/>
            <w:tcBorders>
              <w:top w:val="single" w:color="C8D5EF" w:themeColor="accent1" w:themeTint="4C" w:sz="6" w:space="0"/>
              <w:left w:val="nil"/>
              <w:bottom w:val="single" w:color="4874CB" w:themeColor="accent1" w:sz="6" w:space="0"/>
              <w:right w:val="nil"/>
            </w:tcBorders>
            <w:shd w:val="clear" w:color="auto" w:fill="FFFFFF"/>
            <w:vAlign w:val="center"/>
          </w:tcPr>
          <w:p w14:paraId="26CC03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26</w:t>
            </w:r>
          </w:p>
        </w:tc>
        <w:tc>
          <w:tcPr>
            <w:tcW w:w="1700"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053FAA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bCs w:val="0"/>
                <w:i w:val="0"/>
                <w:color w:val="000000"/>
                <w:sz w:val="24"/>
                <w:szCs w:val="24"/>
                <w:vertAlign w:val="baseline"/>
                <w:lang w:val="en-US" w:eastAsia="zh-CN"/>
              </w:rPr>
            </w:pPr>
            <w:r>
              <w:rPr>
                <w:rFonts w:hint="eastAsia" w:asciiTheme="minorEastAsia" w:hAnsiTheme="minorEastAsia" w:cstheme="minorEastAsia"/>
                <w:b w:val="0"/>
                <w:bCs w:val="0"/>
                <w:i w:val="0"/>
                <w:color w:val="000000"/>
                <w:sz w:val="24"/>
                <w:szCs w:val="24"/>
                <w:vertAlign w:val="baseline"/>
                <w:lang w:val="en-US" w:eastAsia="zh-CN"/>
              </w:rPr>
              <w:t>10</w:t>
            </w:r>
          </w:p>
        </w:tc>
      </w:tr>
    </w:tbl>
    <w:p w14:paraId="0B31AFD6">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t xml:space="preserve">表 </w:t>
      </w:r>
      <w:r>
        <w:fldChar w:fldCharType="begin"/>
      </w:r>
      <w:r>
        <w:instrText xml:space="preserve"> SEQ 表 \* ARABIC </w:instrText>
      </w:r>
      <w:r>
        <w:fldChar w:fldCharType="separate"/>
      </w:r>
      <w:r>
        <w:t>7</w:t>
      </w:r>
      <w:r>
        <w:fldChar w:fldCharType="end"/>
      </w:r>
      <w:bookmarkStart w:id="47" w:name="_Toc6438"/>
      <w:r>
        <w:rPr>
          <w:rFonts w:hint="eastAsia"/>
          <w:lang w:eastAsia="zh-CN"/>
        </w:rPr>
        <w:t xml:space="preserve">  六安天河职业中专学校德育师资保障情况一览表</w:t>
      </w:r>
      <w:bookmarkEnd w:id="47"/>
      <w:r>
        <w:rPr>
          <w:rFonts w:hint="eastAsia"/>
          <w:lang w:eastAsia="zh-CN"/>
        </w:rPr>
        <w:t>（</w:t>
      </w:r>
      <w:r>
        <w:rPr>
          <w:rFonts w:hint="eastAsia"/>
          <w:lang w:val="en-US" w:eastAsia="zh-CN"/>
        </w:rPr>
        <w:t>数据来源：教育统计管理信息系统）</w:t>
      </w:r>
    </w:p>
    <w:p w14:paraId="48DB4CAF">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cs="黑体"/>
          <w:lang w:val="en-US" w:eastAsia="zh-CN"/>
        </w:rPr>
      </w:pPr>
      <w:bookmarkStart w:id="48" w:name="_Toc17047"/>
      <w:r>
        <w:rPr>
          <w:rFonts w:hint="eastAsia" w:ascii="黑体" w:hAnsi="黑体" w:eastAsia="黑体" w:cs="黑体"/>
          <w:lang w:val="en-US" w:eastAsia="zh-CN"/>
        </w:rPr>
        <w:t>2.2技能成才</w:t>
      </w:r>
      <w:bookmarkEnd w:id="45"/>
      <w:bookmarkEnd w:id="46"/>
      <w:bookmarkEnd w:id="48"/>
      <w:r>
        <w:rPr>
          <w:rFonts w:hint="eastAsia" w:ascii="黑体" w:hAnsi="黑体" w:cs="黑体"/>
          <w:lang w:val="en-US" w:eastAsia="zh-CN"/>
        </w:rPr>
        <w:t xml:space="preserve">  </w:t>
      </w:r>
    </w:p>
    <w:p w14:paraId="2D86F746">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lang w:val="en-US" w:eastAsia="zh-CN"/>
        </w:rPr>
      </w:pPr>
      <w:r>
        <w:rPr>
          <w:rFonts w:hint="eastAsia" w:ascii="黑体" w:hAnsi="黑体" w:eastAsia="黑体" w:cs="黑体"/>
          <w:lang w:val="en-US" w:eastAsia="zh-CN"/>
        </w:rPr>
        <w:t>2.2.1具体举措</w:t>
      </w:r>
    </w:p>
    <w:p w14:paraId="25E6AA9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积极探索以适应职业岗位需求为导向的教学模式，突出实践教学环节。在专业技能实训中，学校以中职院校技能大赛为重要抓手，通过组织学生参与各级赛事，强化实践教学成效，突出动手能力培养，落实“以赛促教、以赛促学、以赛促改”理念，推动赛训深度融合，以此检验教学成果、提升人才培养质量。同时，学校通过组织学生参赛，助力学生夯实职业发展基础。</w:t>
      </w:r>
    </w:p>
    <w:p w14:paraId="4FF7CACB">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lang w:val="en-US" w:eastAsia="zh-CN"/>
        </w:rPr>
      </w:pPr>
      <w:r>
        <w:rPr>
          <w:rFonts w:hint="eastAsia" w:ascii="黑体" w:hAnsi="黑体" w:eastAsia="黑体" w:cs="黑体"/>
          <w:lang w:val="en-US" w:eastAsia="zh-CN"/>
        </w:rPr>
        <w:t>2.2.2获奖情况</w:t>
      </w:r>
    </w:p>
    <w:p w14:paraId="6B38C3D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22届“叶圣陶杯”全国中学生新作文大赛高一高二组比赛中，学校共有48名学生斩获省级奖项，其中5人荣获省级一等奖、18人荣获省级二等奖、25人荣获省级三等奖，各奖项获奖人数均刷新历史纪录。高二学生赵芷言、袁寒香两位同学成功晋级全国总决赛。</w:t>
      </w:r>
    </w:p>
    <w:p w14:paraId="5DC19AC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十八届全国中学生创新作文大赛初赛中，学校高一高二学子表现优异，共有251人荣获省级奖项，其中42人勇夺一等奖、84人荣膺二等奖、125人喜获三等奖。高三组全国总决赛，学校朱梦婷同学获得二等奖、王治国同学获得三等奖，再次创下历史最佳成绩！</w:t>
      </w:r>
    </w:p>
    <w:p w14:paraId="1500431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始终坚持立德树人根本任务，将技能培养与人文素养深度融合，不断优化课程结构，强化师资队伍建设，推动教育教学改革向纵深发展。各项荣誉的取得，不仅是学生个人努力的成果，更是学校育人理念与实践成效的有力印证，彰显了六安天河职业中专学校在新时代职业教育高质量发展道路上的坚定步伐与蓬勃活力。</w:t>
      </w:r>
    </w:p>
    <w:p w14:paraId="0259C96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未来，学校将继续坚持“德技并修、知行合一”的育人导向，深化产教融合，拓展实践平台，进一步激发学生专业潜能与创新精神。以赛事为引领，以榜样为示范，持续营造比学赶超的良好氛围，推动更多学子在技能成才之路上脱颖而出，奋力书写新时代职业教育的崭新篇章。</w:t>
      </w:r>
    </w:p>
    <w:p w14:paraId="1E31D3CB">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49" w:name="_Toc3864"/>
      <w:bookmarkStart w:id="50" w:name="_Toc6828"/>
      <w:bookmarkStart w:id="51" w:name="_Toc24088"/>
      <w:r>
        <w:rPr>
          <w:rFonts w:hint="eastAsia" w:ascii="黑体" w:hAnsi="黑体" w:eastAsia="黑体" w:cs="黑体"/>
          <w:lang w:val="en-US" w:eastAsia="zh-CN"/>
        </w:rPr>
        <w:t>2.3在校体验</w:t>
      </w:r>
      <w:bookmarkEnd w:id="49"/>
      <w:bookmarkEnd w:id="50"/>
      <w:bookmarkEnd w:id="51"/>
    </w:p>
    <w:p w14:paraId="490F60D0">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2.3.1具体举措</w:t>
      </w:r>
    </w:p>
    <w:p w14:paraId="5F641D94">
      <w:pPr>
        <w:pStyle w:val="4"/>
        <w:keepNext/>
        <w:keepLines/>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360" w:lineRule="auto"/>
        <w:ind w:firstLine="560" w:firstLineChars="200"/>
        <w:textAlignment w:val="auto"/>
        <w:rPr>
          <w:rFonts w:hint="default" w:asciiTheme="minorEastAsia" w:hAnsiTheme="minorEastAsia" w:eastAsiaTheme="minorEastAsia" w:cstheme="minorEastAsia"/>
          <w:b w:val="0"/>
          <w:kern w:val="2"/>
          <w:sz w:val="28"/>
          <w:szCs w:val="28"/>
          <w:lang w:val="en-US" w:eastAsia="zh-CN" w:bidi="ar-SA"/>
        </w:rPr>
      </w:pPr>
      <w:r>
        <w:rPr>
          <w:rFonts w:hint="eastAsia" w:asciiTheme="minorEastAsia" w:hAnsiTheme="minorEastAsia" w:eastAsiaTheme="minorEastAsia" w:cstheme="minorEastAsia"/>
          <w:b w:val="0"/>
          <w:kern w:val="2"/>
          <w:sz w:val="28"/>
          <w:szCs w:val="28"/>
          <w:lang w:val="en-US" w:eastAsia="zh-CN" w:bidi="ar-SA"/>
        </w:rPr>
        <w:t>学校注重学生在校期间的全过程体验，通过优化课程设置、丰富校园活动、改善生活环境，全面提升学生的获得感与幸福感。坚持“以生为本”理念，定期开展学生满意度调查，及时收集意见建议并落实整改。持续完善智慧校园建设，提升信息化服务水平，实现学习生活便捷化、管理服务精细化。同时，通过主题班会、心理辅导、社团活动等多种形式，关注学生心理健康与个性发展，营造积极向上、和谐融洽的育人氛围。</w:t>
      </w:r>
    </w:p>
    <w:p w14:paraId="18E06568">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default" w:ascii="黑体" w:hAnsi="黑体" w:eastAsia="黑体" w:cs="黑体"/>
          <w:highlight w:val="none"/>
          <w:lang w:val="en-US" w:eastAsia="zh-CN"/>
        </w:rPr>
      </w:pPr>
      <w:r>
        <w:rPr>
          <w:rFonts w:hint="eastAsia" w:ascii="黑体" w:hAnsi="黑体" w:eastAsia="黑体" w:cs="黑体"/>
          <w:highlight w:val="none"/>
          <w:lang w:val="en-US" w:eastAsia="zh-CN"/>
        </w:rPr>
        <w:t>2.3.2满意度结果</w:t>
      </w:r>
    </w:p>
    <w:p w14:paraId="3AF7DA8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kern w:val="2"/>
          <w:sz w:val="28"/>
          <w:szCs w:val="28"/>
          <w:highlight w:val="none"/>
          <w:lang w:val="en-US" w:eastAsia="zh-CN" w:bidi="ar-SA"/>
        </w:rPr>
      </w:pPr>
      <w:r>
        <w:rPr>
          <w:rFonts w:hint="eastAsia" w:asciiTheme="minorEastAsia" w:hAnsiTheme="minorEastAsia" w:cstheme="minorEastAsia"/>
          <w:sz w:val="28"/>
          <w:szCs w:val="28"/>
          <w:highlight w:val="none"/>
          <w:lang w:val="en-US" w:eastAsia="zh-CN"/>
        </w:rPr>
        <w:t>2025年12月，学校对二三年级开展了在校生满意度网络问卷调查，反馈结果：</w:t>
      </w:r>
      <w:r>
        <w:rPr>
          <w:rFonts w:hint="eastAsia" w:asciiTheme="minorEastAsia" w:hAnsiTheme="minorEastAsia" w:eastAsiaTheme="minorEastAsia" w:cstheme="minorEastAsia"/>
          <w:kern w:val="2"/>
          <w:sz w:val="28"/>
          <w:szCs w:val="28"/>
          <w:highlight w:val="none"/>
          <w:lang w:val="en-US" w:eastAsia="zh-CN" w:bidi="ar-SA"/>
        </w:rPr>
        <w:t>总体满意度：98.76%。其中课堂育人满意度：99.05%；课外育人满意度：98.68%；思想政治课教学满意度：98.99%；公共基础课教学满意度：98.84%；专业课教学满意度：99.22%；服务与管理满意度：98.26%</w:t>
      </w:r>
      <w:r>
        <w:rPr>
          <w:rFonts w:hint="eastAsia" w:asciiTheme="minorEastAsia" w:hAnsiTheme="minorEastAsia" w:cstheme="minorEastAsia"/>
          <w:kern w:val="2"/>
          <w:sz w:val="28"/>
          <w:szCs w:val="28"/>
          <w:highlight w:val="none"/>
          <w:lang w:val="en-US" w:eastAsia="zh-CN" w:bidi="ar-SA"/>
        </w:rPr>
        <w:t>，均较上一年度有些许提升</w:t>
      </w:r>
      <w:r>
        <w:rPr>
          <w:rFonts w:hint="eastAsia" w:asciiTheme="minorEastAsia" w:hAnsiTheme="minorEastAsia" w:eastAsiaTheme="minorEastAsia" w:cstheme="minorEastAsia"/>
          <w:kern w:val="2"/>
          <w:sz w:val="28"/>
          <w:szCs w:val="28"/>
          <w:highlight w:val="none"/>
          <w:lang w:val="en-US" w:eastAsia="zh-CN" w:bidi="ar-SA"/>
        </w:rPr>
        <w:t>。</w:t>
      </w:r>
      <w:r>
        <w:rPr>
          <w:rFonts w:hint="eastAsia" w:asciiTheme="minorEastAsia" w:hAnsiTheme="minorEastAsia" w:cstheme="minorEastAsia"/>
          <w:kern w:val="2"/>
          <w:sz w:val="28"/>
          <w:szCs w:val="28"/>
          <w:highlight w:val="none"/>
          <w:lang w:val="en-US" w:eastAsia="zh-CN" w:bidi="ar-SA"/>
        </w:rPr>
        <w:t>学生普遍反映，校园生活便捷舒适，课程内容贴近实际，教师教学认真负责，课余活动丰富多彩。对学校在心理疏导、就业指导及奖助体系方面的支持给予高度认可。各项数据充分体现出学校在提升育人质量与服务水平上的持续进步，切实增强了学生的归属感、幸福感与获得感。</w:t>
      </w:r>
    </w:p>
    <w:p w14:paraId="2724132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学校将学生满意度监测纳入常态化工作，每学期开展一次全覆盖调研，动态把握需求变化。结合智慧校园平台建设，推动教学资源、生活服务与管理流程深度融合，增强学生学习生活便利性。持续丰富校园文化供给，支持学生自主开展多样化社团活动，促进全面发展。通过一系列举措，切实提升育人实效与服务质量，为学生成长成才提供坚实保障。</w:t>
      </w:r>
    </w:p>
    <w:tbl>
      <w:tblPr>
        <w:tblStyle w:val="19"/>
        <w:tblW w:w="8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1"/>
        <w:gridCol w:w="2595"/>
        <w:gridCol w:w="2122"/>
      </w:tblGrid>
      <w:tr w14:paraId="327A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1E21EA8">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满意度指标</w:t>
            </w:r>
          </w:p>
        </w:tc>
        <w:tc>
          <w:tcPr>
            <w:tcW w:w="2595"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09EDB5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2024年</w:t>
            </w:r>
          </w:p>
        </w:tc>
        <w:tc>
          <w:tcPr>
            <w:tcW w:w="2122" w:type="dxa"/>
            <w:tcBorders>
              <w:top w:val="single" w:color="4874CB" w:themeColor="accent1"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6CF316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2025年</w:t>
            </w:r>
          </w:p>
        </w:tc>
      </w:tr>
      <w:tr w14:paraId="33E6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6C373E7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在校生满意度</w:t>
            </w:r>
          </w:p>
        </w:tc>
        <w:tc>
          <w:tcPr>
            <w:tcW w:w="259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0A972E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94.64%</w:t>
            </w:r>
          </w:p>
        </w:tc>
        <w:tc>
          <w:tcPr>
            <w:tcW w:w="212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06FD8A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98.76%</w:t>
            </w:r>
          </w:p>
        </w:tc>
      </w:tr>
      <w:tr w14:paraId="7EEF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2A7BBEA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其中：课堂育人满意度</w:t>
            </w:r>
          </w:p>
        </w:tc>
        <w:tc>
          <w:tcPr>
            <w:tcW w:w="259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C305D2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95.78%</w:t>
            </w:r>
          </w:p>
        </w:tc>
        <w:tc>
          <w:tcPr>
            <w:tcW w:w="212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F796A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99.05%</w:t>
            </w:r>
          </w:p>
        </w:tc>
      </w:tr>
      <w:tr w14:paraId="6498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973AF6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其中：课外育人满意度</w:t>
            </w:r>
          </w:p>
        </w:tc>
        <w:tc>
          <w:tcPr>
            <w:tcW w:w="259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7288A3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94.36%</w:t>
            </w:r>
          </w:p>
        </w:tc>
        <w:tc>
          <w:tcPr>
            <w:tcW w:w="212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1C2FAD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99.05%</w:t>
            </w:r>
          </w:p>
        </w:tc>
      </w:tr>
      <w:tr w14:paraId="5357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643900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其中：思想政治教学满意度</w:t>
            </w:r>
          </w:p>
        </w:tc>
        <w:tc>
          <w:tcPr>
            <w:tcW w:w="259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4986F3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95.08%</w:t>
            </w:r>
          </w:p>
        </w:tc>
        <w:tc>
          <w:tcPr>
            <w:tcW w:w="212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1E8596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98.99%</w:t>
            </w:r>
          </w:p>
        </w:tc>
      </w:tr>
      <w:tr w14:paraId="7F81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1CA8673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其中：公共基础课教学满意度</w:t>
            </w:r>
          </w:p>
        </w:tc>
        <w:tc>
          <w:tcPr>
            <w:tcW w:w="2595"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FAA28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95.46%</w:t>
            </w:r>
          </w:p>
        </w:tc>
        <w:tc>
          <w:tcPr>
            <w:tcW w:w="212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EDF1F9" w:themeFill="accent1" w:themeFillTint="19"/>
            <w:vAlign w:val="center"/>
          </w:tcPr>
          <w:p w14:paraId="501B64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98.84%</w:t>
            </w:r>
          </w:p>
        </w:tc>
      </w:tr>
      <w:tr w14:paraId="7E34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31"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60186B30">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其中：专业课教学满意度</w:t>
            </w:r>
          </w:p>
        </w:tc>
        <w:tc>
          <w:tcPr>
            <w:tcW w:w="2595"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2BA662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96.09%</w:t>
            </w:r>
          </w:p>
        </w:tc>
        <w:tc>
          <w:tcPr>
            <w:tcW w:w="2122" w:type="dxa"/>
            <w:tcBorders>
              <w:top w:val="single" w:color="C8D5EF" w:themeColor="accent1" w:themeTint="4C" w:sz="6" w:space="0"/>
              <w:left w:val="nil"/>
              <w:bottom w:val="single" w:color="4874CB" w:themeColor="accent1" w:sz="6" w:space="0"/>
              <w:right w:val="single" w:color="4874CB" w:themeColor="accent1" w:sz="6" w:space="0"/>
            </w:tcBorders>
            <w:shd w:val="clear" w:color="auto" w:fill="EDF1F9" w:themeFill="accent1" w:themeFillTint="19"/>
            <w:vAlign w:val="center"/>
          </w:tcPr>
          <w:p w14:paraId="74E323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99.22%</w:t>
            </w:r>
          </w:p>
        </w:tc>
      </w:tr>
    </w:tbl>
    <w:p w14:paraId="29C24850">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表 </w:t>
      </w:r>
      <w:r>
        <w:fldChar w:fldCharType="begin"/>
      </w:r>
      <w:r>
        <w:instrText xml:space="preserve"> SEQ 表 \* ARABIC </w:instrText>
      </w:r>
      <w:r>
        <w:fldChar w:fldCharType="separate"/>
      </w:r>
      <w:r>
        <w:t>8</w:t>
      </w:r>
      <w:r>
        <w:fldChar w:fldCharType="end"/>
      </w:r>
      <w:bookmarkStart w:id="52" w:name="_Toc2898"/>
      <w:r>
        <w:rPr>
          <w:rFonts w:hint="eastAsia"/>
          <w:lang w:eastAsia="zh-CN"/>
        </w:rPr>
        <w:t xml:space="preserve">  六安天河职业中专学校在校生满意度调查一览表</w:t>
      </w:r>
      <w:bookmarkEnd w:id="52"/>
      <w:r>
        <w:rPr>
          <w:rFonts w:hint="eastAsia"/>
          <w:lang w:eastAsia="zh-CN"/>
        </w:rPr>
        <w:t>（</w:t>
      </w:r>
      <w:r>
        <w:rPr>
          <w:rFonts w:hint="eastAsia"/>
          <w:lang w:val="en-US" w:eastAsia="zh-CN"/>
        </w:rPr>
        <w:t>数据来源：质量年报学生满意度调查）</w:t>
      </w:r>
    </w:p>
    <w:p w14:paraId="2F3E737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2025年，共有6142名学生参加国家学生体质健康标准测试，其中学生体质测评合格人数2568人，合格率89.95%，较去年略微上升。通过发放问卷调查方式进行综合调查评估，用人单位对毕业生满意度为91.25%，家长对学生在校满意度为95.23%，与去年基本持平。</w:t>
      </w:r>
    </w:p>
    <w:p w14:paraId="1B39097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社会对学校人才培养质量的认可度持续稳定，反映出学校在产教融合、校企协同育人方面取得的扎实成效。家长满意度的高位运行，体现了家校共育机制的逐步深化与沟通效能的不断提升。学生体质健康合格率的稳中有升，表明学校在促进学生全面发展过程中，日益重视身心健康的基础性作用。</w:t>
      </w:r>
    </w:p>
    <w:p w14:paraId="7DC7D9F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各项数据共同勾勒出学校内涵式发展的清晰轨迹，也映射出职业教育高质量发展背景下，育人成果正不断转化为社会认可的现实力量。未来将继续以需求为导向，以评价为牵引，推动办学水平持续提升。总体来看，学生在教学支持、生活保障与成长发展各维度体验持续向好，育人成效不断显现。</w:t>
      </w:r>
    </w:p>
    <w:p w14:paraId="071D24BD">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53" w:name="_Toc16783"/>
      <w:bookmarkStart w:id="54" w:name="_Toc31156"/>
      <w:bookmarkStart w:id="55" w:name="_Toc17771"/>
      <w:r>
        <w:rPr>
          <w:rFonts w:hint="eastAsia" w:ascii="黑体" w:hAnsi="黑体" w:eastAsia="黑体" w:cs="黑体"/>
          <w:lang w:val="en-US" w:eastAsia="zh-CN"/>
        </w:rPr>
        <w:t>2.4职业发展</w:t>
      </w:r>
      <w:bookmarkEnd w:id="53"/>
      <w:bookmarkEnd w:id="54"/>
      <w:bookmarkEnd w:id="55"/>
    </w:p>
    <w:p w14:paraId="4018B1FA">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2.4.1就业帮扶政策</w:t>
      </w:r>
    </w:p>
    <w:p w14:paraId="05BEA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Style w:val="24"/>
          <w:rFonts w:hint="eastAsia" w:ascii="黑体" w:hAnsi="黑体" w:eastAsia="黑体" w:cs="黑体"/>
          <w:lang w:val="en-US" w:eastAsia="zh-CN"/>
        </w:rPr>
      </w:pPr>
      <w:r>
        <w:rPr>
          <w:rFonts w:hint="eastAsia" w:asciiTheme="minorEastAsia" w:hAnsiTheme="minorEastAsia" w:eastAsiaTheme="minorEastAsia" w:cstheme="minorEastAsia"/>
          <w:b w:val="0"/>
          <w:kern w:val="2"/>
          <w:sz w:val="28"/>
          <w:szCs w:val="28"/>
          <w:lang w:val="en-US" w:eastAsia="zh-CN" w:bidi="ar-SA"/>
        </w:rPr>
        <w:t>学校建立健全就业帮扶工作机制，面向毕业生全面开展职业生涯规划指导、就业技能培训、岗位推荐与跟踪服务。学校</w:t>
      </w:r>
      <w:r>
        <w:rPr>
          <w:rFonts w:hint="eastAsia" w:asciiTheme="minorEastAsia" w:hAnsiTheme="minorEastAsia" w:cstheme="minorEastAsia"/>
          <w:sz w:val="28"/>
          <w:szCs w:val="28"/>
          <w:lang w:val="en-US" w:eastAsia="zh-CN"/>
        </w:rPr>
        <w:t>实施精准帮扶策略，根据每位毕业生的特长和兴趣，提供个性化的就业指导和推荐；加强校企联动合作，搭建学校与企业之间的桥梁，促进企业需求与学生专业技能的精准对接；主动走访企业，积极拓展就业岗位，为毕业生提供更多选择机会。同时，学校定期举办就业讲座、模拟面试和双选会等活动，提升毕业生求职实战能力。通过这些综合性举措，不仅有效提高了毕业生的就业率，更显著增强了他们就业的质量和满意度。</w:t>
      </w:r>
    </w:p>
    <w:p w14:paraId="2A08A01F">
      <w:pPr>
        <w:pStyle w:val="4"/>
        <w:pageBreakBefore w:val="0"/>
        <w:widowControl w:val="0"/>
        <w:numPr>
          <w:ilvl w:val="2"/>
          <w:numId w:val="0"/>
        </w:numPr>
        <w:kinsoku/>
        <w:wordWrap/>
        <w:overflowPunct/>
        <w:topLinePunct w:val="0"/>
        <w:autoSpaceDE/>
        <w:autoSpaceDN/>
        <w:bidi w:val="0"/>
        <w:adjustRightInd/>
        <w:snapToGrid/>
        <w:spacing w:before="0" w:beforeLines="0" w:beforeAutospacing="0" w:after="0" w:afterLines="0" w:afterAutospacing="0" w:line="240" w:lineRule="auto"/>
        <w:ind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2.4.2就业质量</w:t>
      </w:r>
    </w:p>
    <w:p w14:paraId="47B22C5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eastAsiaTheme="minorEastAsia" w:cstheme="minorEastAsia"/>
          <w:b w:val="0"/>
          <w:kern w:val="2"/>
          <w:sz w:val="28"/>
          <w:szCs w:val="28"/>
          <w:highlight w:val="none"/>
          <w:lang w:val="en-US" w:eastAsia="zh-CN" w:bidi="ar-SA"/>
        </w:rPr>
      </w:pPr>
      <w:r>
        <w:rPr>
          <w:rFonts w:hint="eastAsia" w:asciiTheme="minorEastAsia" w:hAnsiTheme="minorEastAsia" w:eastAsiaTheme="minorEastAsia" w:cstheme="minorEastAsia"/>
          <w:b w:val="0"/>
          <w:kern w:val="2"/>
          <w:sz w:val="28"/>
          <w:szCs w:val="28"/>
          <w:highlight w:val="none"/>
          <w:lang w:val="en-US" w:eastAsia="zh-CN" w:bidi="ar-SA"/>
        </w:rPr>
        <w:t>202</w:t>
      </w:r>
      <w:r>
        <w:rPr>
          <w:rFonts w:hint="eastAsia" w:asciiTheme="minorEastAsia" w:hAnsiTheme="minorEastAsia" w:cstheme="minorEastAsia"/>
          <w:b w:val="0"/>
          <w:kern w:val="2"/>
          <w:sz w:val="28"/>
          <w:szCs w:val="28"/>
          <w:highlight w:val="none"/>
          <w:lang w:val="en-US" w:eastAsia="zh-CN" w:bidi="ar-SA"/>
        </w:rPr>
        <w:t>5</w:t>
      </w:r>
      <w:r>
        <w:rPr>
          <w:rFonts w:hint="eastAsia" w:asciiTheme="minorEastAsia" w:hAnsiTheme="minorEastAsia" w:eastAsiaTheme="minorEastAsia" w:cstheme="minorEastAsia"/>
          <w:b w:val="0"/>
          <w:kern w:val="2"/>
          <w:sz w:val="28"/>
          <w:szCs w:val="28"/>
          <w:highlight w:val="none"/>
          <w:lang w:val="en-US" w:eastAsia="zh-CN" w:bidi="ar-SA"/>
        </w:rPr>
        <w:t>届毕业生初次就业率达</w:t>
      </w:r>
      <w:r>
        <w:rPr>
          <w:rFonts w:hint="eastAsia" w:asciiTheme="minorEastAsia" w:hAnsiTheme="minorEastAsia" w:cstheme="minorEastAsia"/>
          <w:b w:val="0"/>
          <w:kern w:val="2"/>
          <w:sz w:val="28"/>
          <w:szCs w:val="28"/>
          <w:highlight w:val="none"/>
          <w:lang w:val="en-US" w:eastAsia="zh-CN" w:bidi="ar-SA"/>
        </w:rPr>
        <w:t>100</w:t>
      </w:r>
      <w:r>
        <w:rPr>
          <w:rFonts w:hint="eastAsia" w:asciiTheme="minorEastAsia" w:hAnsiTheme="minorEastAsia" w:eastAsiaTheme="minorEastAsia" w:cstheme="minorEastAsia"/>
          <w:b w:val="0"/>
          <w:kern w:val="2"/>
          <w:sz w:val="28"/>
          <w:szCs w:val="28"/>
          <w:highlight w:val="none"/>
          <w:lang w:val="en-US" w:eastAsia="zh-CN" w:bidi="ar-SA"/>
        </w:rPr>
        <w:t>%。毕业生平均起薪为</w:t>
      </w:r>
      <w:r>
        <w:rPr>
          <w:rFonts w:hint="eastAsia" w:asciiTheme="minorEastAsia" w:hAnsiTheme="minorEastAsia" w:cstheme="minorEastAsia"/>
          <w:b w:val="0"/>
          <w:kern w:val="2"/>
          <w:sz w:val="28"/>
          <w:szCs w:val="28"/>
          <w:highlight w:val="none"/>
          <w:lang w:val="en-US" w:eastAsia="zh-CN" w:bidi="ar-SA"/>
        </w:rPr>
        <w:t>2904</w:t>
      </w:r>
      <w:r>
        <w:rPr>
          <w:rFonts w:hint="eastAsia" w:asciiTheme="minorEastAsia" w:hAnsiTheme="minorEastAsia" w:eastAsiaTheme="minorEastAsia" w:cstheme="minorEastAsia"/>
          <w:b w:val="0"/>
          <w:kern w:val="2"/>
          <w:sz w:val="28"/>
          <w:szCs w:val="28"/>
          <w:highlight w:val="none"/>
          <w:lang w:val="en-US" w:eastAsia="zh-CN" w:bidi="ar-SA"/>
        </w:rPr>
        <w:t>元/月。用人单位普遍反馈毕业生岗位适应能力强、职业素养良好，能够在短时间内胜任工作岗位。学校持续跟踪毕业生成长轨迹，建立职业发展档案，支持其长期发展。通过多维度提升就业质量，切实增强职业教育吸引力和学生获得感。</w:t>
      </w:r>
    </w:p>
    <w:p w14:paraId="793B986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2025年毕业生1637人，毕业证发放率100%。直接就业人数121人。其中升学人数1516人，较去年增加268人，其中升入本科人数316人，较去年增加29人。升学比例的大幅提升，反映出学校在拓宽发展路径、满足学生多样化成才需求方面的有效探索。毕业生就业去向的多元化格局日趋明显，职业教育与普通教育横向融通的通道进一步打开。就业毕业生面向第三产业就业人数121，占比100%。毕业生就业去向本省121人，本省去向落实率100%。（见表9）</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6"/>
        <w:gridCol w:w="1527"/>
        <w:gridCol w:w="1541"/>
        <w:gridCol w:w="1504"/>
      </w:tblGrid>
      <w:tr w14:paraId="30E2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22F57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指标</w:t>
            </w:r>
          </w:p>
        </w:tc>
        <w:tc>
          <w:tcPr>
            <w:tcW w:w="1527"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18F3F3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单位</w:t>
            </w:r>
          </w:p>
        </w:tc>
        <w:tc>
          <w:tcPr>
            <w:tcW w:w="1541"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72C2446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2024年</w:t>
            </w:r>
          </w:p>
        </w:tc>
        <w:tc>
          <w:tcPr>
            <w:tcW w:w="1504" w:type="dxa"/>
            <w:tcBorders>
              <w:top w:val="single" w:color="4874CB" w:themeColor="accent1" w:sz="6" w:space="0"/>
              <w:left w:val="nil"/>
              <w:bottom w:val="single" w:color="C8D5EF" w:themeColor="accent1" w:themeTint="4C" w:sz="6" w:space="0"/>
              <w:right w:val="single" w:color="4874CB" w:themeColor="accent1" w:sz="6" w:space="0"/>
            </w:tcBorders>
            <w:shd w:val="clear" w:color="auto" w:fill="FFFFFF"/>
            <w:vAlign w:val="center"/>
          </w:tcPr>
          <w:p w14:paraId="583F3A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2025年</w:t>
            </w:r>
          </w:p>
        </w:tc>
      </w:tr>
      <w:tr w14:paraId="5E33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C72F2E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毕业生人数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4FAD2ED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4E3F87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1663</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5E7308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1637</w:t>
            </w:r>
          </w:p>
        </w:tc>
      </w:tr>
      <w:tr w14:paraId="4D2E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E32FE3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其中：升学人数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5F4374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2F2384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1248</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4AC116E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default" w:asciiTheme="minorEastAsia" w:hAnsiTheme="minorEastAsia" w:cstheme="minorEastAsia"/>
                <w:b w:val="0"/>
                <w:i w:val="0"/>
                <w:color w:val="000000"/>
                <w:sz w:val="24"/>
                <w:szCs w:val="24"/>
                <w:vertAlign w:val="baseline"/>
                <w:lang w:val="en-US" w:eastAsia="zh-CN"/>
              </w:rPr>
              <w:t>1516</w:t>
            </w:r>
          </w:p>
        </w:tc>
      </w:tr>
      <w:tr w14:paraId="184D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76CFE77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 xml:space="preserve">      升入本科人数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780136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711661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287</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020F3CF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default" w:asciiTheme="minorEastAsia" w:hAnsiTheme="minorEastAsia" w:cstheme="minorEastAsia"/>
                <w:b w:val="0"/>
                <w:i w:val="0"/>
                <w:color w:val="000000"/>
                <w:sz w:val="24"/>
                <w:szCs w:val="24"/>
                <w:vertAlign w:val="baseline"/>
                <w:lang w:val="en-US" w:eastAsia="zh-CN"/>
              </w:rPr>
              <w:t>316</w:t>
            </w:r>
          </w:p>
        </w:tc>
      </w:tr>
      <w:tr w14:paraId="40DE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A5FBD4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直接就业人数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0E2A9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1D6692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415</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35D49B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121</w:t>
            </w:r>
          </w:p>
        </w:tc>
      </w:tr>
      <w:tr w14:paraId="161F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08D1E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毕业去向落实人数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0CA396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086E8F5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1663</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3189C7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1637</w:t>
            </w:r>
          </w:p>
        </w:tc>
      </w:tr>
      <w:tr w14:paraId="5AB6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3202064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毕业生本省去向落实率</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745AAC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5EC6D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100</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199269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100</w:t>
            </w:r>
          </w:p>
        </w:tc>
      </w:tr>
      <w:tr w14:paraId="1475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0B91EC0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毕业生面向三次产业就业人数</w:t>
            </w:r>
          </w:p>
        </w:tc>
        <w:tc>
          <w:tcPr>
            <w:tcW w:w="1527"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B256D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DAAE8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415</w:t>
            </w:r>
          </w:p>
        </w:tc>
        <w:tc>
          <w:tcPr>
            <w:tcW w:w="1504"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13692E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121</w:t>
            </w:r>
          </w:p>
        </w:tc>
      </w:tr>
      <w:tr w14:paraId="0BAC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86"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1A62E67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其中：面向第三产业就业人数</w:t>
            </w:r>
          </w:p>
        </w:tc>
        <w:tc>
          <w:tcPr>
            <w:tcW w:w="1527"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319908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人</w:t>
            </w:r>
          </w:p>
        </w:tc>
        <w:tc>
          <w:tcPr>
            <w:tcW w:w="1541"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7F61D7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415</w:t>
            </w:r>
          </w:p>
        </w:tc>
        <w:tc>
          <w:tcPr>
            <w:tcW w:w="1504" w:type="dxa"/>
            <w:tcBorders>
              <w:top w:val="single" w:color="C8D5EF" w:themeColor="accent1" w:themeTint="4C" w:sz="6" w:space="0"/>
              <w:left w:val="nil"/>
              <w:bottom w:val="single" w:color="4874CB" w:themeColor="accent1" w:sz="6" w:space="0"/>
              <w:right w:val="single" w:color="4874CB" w:themeColor="accent1" w:sz="6" w:space="0"/>
            </w:tcBorders>
            <w:shd w:val="clear" w:color="auto" w:fill="FFFFFF"/>
            <w:vAlign w:val="center"/>
          </w:tcPr>
          <w:p w14:paraId="7E9F98C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121</w:t>
            </w:r>
          </w:p>
        </w:tc>
      </w:tr>
    </w:tbl>
    <w:p w14:paraId="39D9E121">
      <w:pPr>
        <w:pStyle w:val="11"/>
        <w:jc w:val="center"/>
        <w:rPr>
          <w:rFonts w:hint="eastAsia" w:eastAsia="宋体"/>
          <w:lang w:eastAsia="zh-CN"/>
        </w:rPr>
      </w:pPr>
      <w:r>
        <w:t xml:space="preserve">表 </w:t>
      </w:r>
      <w:r>
        <w:fldChar w:fldCharType="begin"/>
      </w:r>
      <w:r>
        <w:instrText xml:space="preserve"> SEQ 表 \* ARABIC </w:instrText>
      </w:r>
      <w:r>
        <w:fldChar w:fldCharType="separate"/>
      </w:r>
      <w:r>
        <w:t>9</w:t>
      </w:r>
      <w:r>
        <w:fldChar w:fldCharType="end"/>
      </w:r>
      <w:bookmarkStart w:id="56" w:name="_Toc18482"/>
      <w:r>
        <w:rPr>
          <w:rFonts w:hint="eastAsia"/>
          <w:lang w:eastAsia="zh-CN"/>
        </w:rPr>
        <w:t xml:space="preserve">  六安天河职业中专学校人才培养质量记分卡</w:t>
      </w:r>
      <w:bookmarkEnd w:id="56"/>
      <w:r>
        <w:rPr>
          <w:rFonts w:hint="eastAsia"/>
          <w:lang w:eastAsia="zh-CN"/>
        </w:rPr>
        <w:t>（</w:t>
      </w:r>
      <w:r>
        <w:rPr>
          <w:rFonts w:hint="eastAsia"/>
          <w:lang w:val="en-US" w:eastAsia="zh-CN"/>
        </w:rPr>
        <w:t>数据来源：全国中等职业学校学生管理信息系统）</w:t>
      </w:r>
    </w:p>
    <w:p w14:paraId="443D189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问卷调查，应届生平均月收入为2904元，毕业生三年内晋升比例为25.21%。其中应届毕业生满意度为92.15%，毕业三年内毕业生满意度为90.68%，整体满意度为91.82%，均较去年有稍微下滑。（见表10）用人单位对毕业生综合素质评价较高，满意度达93.5%。尽管就业率与升学率保持高位，但薪酬水平与理想预期仍有差距，成为影响满意度微降的主要因素。</w:t>
      </w:r>
    </w:p>
    <w:p w14:paraId="414F027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将进一步优化产教融合机制，强化职业指导服务，提升学生高技能岗位匹配能力，推动就业质量持续提升。面对发展中的新挑战，学校将以学生发展为中心，深化教育教学改革，推动专业设置与区域产业需求精准对接。通过强化实践教学与企业协同育人，提升学生职业素养与可持续发展能力，努力实现从“有学上”到“上好学”、从“能就业”到“就好业”的转变，为区域经济社会高质量发展提供有力的人才支撑。</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1"/>
        <w:gridCol w:w="1575"/>
        <w:gridCol w:w="1590"/>
        <w:gridCol w:w="1552"/>
      </w:tblGrid>
      <w:tr w14:paraId="076A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4874CB" w:themeColor="accent1"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58EBCA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指标</w:t>
            </w:r>
          </w:p>
        </w:tc>
        <w:tc>
          <w:tcPr>
            <w:tcW w:w="1575" w:type="dxa"/>
            <w:tcBorders>
              <w:top w:val="single" w:color="4874CB" w:themeColor="accent1" w:sz="6" w:space="0"/>
              <w:left w:val="single" w:color="4874CB" w:themeColor="accent1" w:sz="6" w:space="0"/>
              <w:bottom w:val="single" w:color="C8D5EF" w:themeColor="accent1" w:themeTint="4C" w:sz="6" w:space="0"/>
              <w:right w:val="nil"/>
            </w:tcBorders>
            <w:shd w:val="clear" w:color="auto" w:fill="FFFFFF"/>
            <w:vAlign w:val="center"/>
          </w:tcPr>
          <w:p w14:paraId="50C772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单位</w:t>
            </w:r>
          </w:p>
        </w:tc>
        <w:tc>
          <w:tcPr>
            <w:tcW w:w="1590" w:type="dxa"/>
            <w:tcBorders>
              <w:top w:val="single" w:color="4874CB" w:themeColor="accent1" w:sz="6" w:space="0"/>
              <w:left w:val="nil"/>
              <w:bottom w:val="single" w:color="C8D5EF" w:themeColor="accent1" w:themeTint="4C" w:sz="6" w:space="0"/>
              <w:right w:val="nil"/>
            </w:tcBorders>
            <w:shd w:val="clear" w:color="auto" w:fill="EDF1F9" w:themeFill="accent1" w:themeFillTint="19"/>
            <w:vAlign w:val="center"/>
          </w:tcPr>
          <w:p w14:paraId="423F76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2024年</w:t>
            </w:r>
          </w:p>
        </w:tc>
        <w:tc>
          <w:tcPr>
            <w:tcW w:w="1552" w:type="dxa"/>
            <w:tcBorders>
              <w:top w:val="single" w:color="4874CB" w:themeColor="accent1" w:sz="6" w:space="0"/>
              <w:left w:val="nil"/>
              <w:bottom w:val="single" w:color="C8D5EF" w:themeColor="accent1" w:themeTint="4C" w:sz="6" w:space="0"/>
              <w:right w:val="single" w:color="4874CB" w:themeColor="accent1" w:sz="6" w:space="0"/>
            </w:tcBorders>
            <w:shd w:val="clear" w:color="auto" w:fill="FFFFFF"/>
            <w:vAlign w:val="center"/>
          </w:tcPr>
          <w:p w14:paraId="05B65D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2025年</w:t>
            </w:r>
          </w:p>
        </w:tc>
      </w:tr>
      <w:tr w14:paraId="078F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2A6E801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毕业生月收入</w:t>
            </w:r>
          </w:p>
        </w:tc>
        <w:tc>
          <w:tcPr>
            <w:tcW w:w="157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255B97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元</w:t>
            </w:r>
          </w:p>
        </w:tc>
        <w:tc>
          <w:tcPr>
            <w:tcW w:w="1590"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5C8F16E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3398</w:t>
            </w:r>
          </w:p>
        </w:tc>
        <w:tc>
          <w:tcPr>
            <w:tcW w:w="155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4044A4E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2904</w:t>
            </w:r>
          </w:p>
        </w:tc>
      </w:tr>
      <w:tr w14:paraId="32E2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60F693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毕业生满意度</w:t>
            </w:r>
          </w:p>
        </w:tc>
        <w:tc>
          <w:tcPr>
            <w:tcW w:w="157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112249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w:t>
            </w:r>
          </w:p>
        </w:tc>
        <w:tc>
          <w:tcPr>
            <w:tcW w:w="1590"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328C1E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92.68</w:t>
            </w:r>
          </w:p>
        </w:tc>
        <w:tc>
          <w:tcPr>
            <w:tcW w:w="155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48CA69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91.82</w:t>
            </w:r>
          </w:p>
        </w:tc>
      </w:tr>
      <w:tr w14:paraId="1D18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235D5AE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其中：应届毕业生满意度</w:t>
            </w:r>
          </w:p>
        </w:tc>
        <w:tc>
          <w:tcPr>
            <w:tcW w:w="157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70DC1D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w:t>
            </w:r>
          </w:p>
        </w:tc>
        <w:tc>
          <w:tcPr>
            <w:tcW w:w="1590"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290CFF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93.54</w:t>
            </w:r>
          </w:p>
        </w:tc>
        <w:tc>
          <w:tcPr>
            <w:tcW w:w="155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47F6CA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default" w:asciiTheme="minorEastAsia" w:hAnsiTheme="minorEastAsia" w:cstheme="minorEastAsia"/>
                <w:b w:val="0"/>
                <w:i w:val="0"/>
                <w:color w:val="000000"/>
                <w:sz w:val="24"/>
                <w:szCs w:val="24"/>
                <w:vertAlign w:val="baseline"/>
                <w:lang w:val="en-US" w:eastAsia="zh-CN"/>
              </w:rPr>
              <w:t>92.15</w:t>
            </w:r>
          </w:p>
        </w:tc>
      </w:tr>
      <w:tr w14:paraId="3690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E9E9E9" w:themeColor="background1" w:themeShade="EA" w:sz="6" w:space="0"/>
              <w:left w:val="single" w:color="4874CB" w:themeColor="accent1" w:sz="6" w:space="0"/>
              <w:bottom w:val="single" w:color="E9E9E9" w:themeColor="background1" w:themeShade="EA" w:sz="6" w:space="0"/>
              <w:right w:val="single" w:color="4874CB" w:themeColor="accent1" w:sz="6" w:space="0"/>
            </w:tcBorders>
            <w:shd w:val="clear" w:color="auto" w:fill="4874CB" w:themeFill="accent1"/>
            <w:vAlign w:val="center"/>
          </w:tcPr>
          <w:p w14:paraId="495C216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 xml:space="preserve">      毕业三年内毕业生满意度</w:t>
            </w:r>
          </w:p>
        </w:tc>
        <w:tc>
          <w:tcPr>
            <w:tcW w:w="1575" w:type="dxa"/>
            <w:tcBorders>
              <w:top w:val="single" w:color="C8D5EF" w:themeColor="accent1" w:themeTint="4C" w:sz="6" w:space="0"/>
              <w:left w:val="single" w:color="4874CB" w:themeColor="accent1" w:sz="6" w:space="0"/>
              <w:bottom w:val="single" w:color="C8D5EF" w:themeColor="accent1" w:themeTint="4C" w:sz="6" w:space="0"/>
              <w:right w:val="nil"/>
            </w:tcBorders>
            <w:shd w:val="clear" w:color="auto" w:fill="FFFFFF"/>
            <w:vAlign w:val="center"/>
          </w:tcPr>
          <w:p w14:paraId="4028759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w:t>
            </w:r>
          </w:p>
        </w:tc>
        <w:tc>
          <w:tcPr>
            <w:tcW w:w="1590" w:type="dxa"/>
            <w:tcBorders>
              <w:top w:val="single" w:color="C8D5EF" w:themeColor="accent1" w:themeTint="4C" w:sz="6" w:space="0"/>
              <w:left w:val="nil"/>
              <w:bottom w:val="single" w:color="C8D5EF" w:themeColor="accent1" w:themeTint="4C" w:sz="6" w:space="0"/>
              <w:right w:val="nil"/>
            </w:tcBorders>
            <w:shd w:val="clear" w:color="auto" w:fill="EDF1F9" w:themeFill="accent1" w:themeFillTint="19"/>
            <w:vAlign w:val="center"/>
          </w:tcPr>
          <w:p w14:paraId="0EED64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92.12</w:t>
            </w:r>
          </w:p>
        </w:tc>
        <w:tc>
          <w:tcPr>
            <w:tcW w:w="1552" w:type="dxa"/>
            <w:tcBorders>
              <w:top w:val="single" w:color="C8D5EF" w:themeColor="accent1" w:themeTint="4C" w:sz="6" w:space="0"/>
              <w:left w:val="nil"/>
              <w:bottom w:val="single" w:color="C8D5EF" w:themeColor="accent1" w:themeTint="4C" w:sz="6" w:space="0"/>
              <w:right w:val="single" w:color="4874CB" w:themeColor="accent1" w:sz="6" w:space="0"/>
            </w:tcBorders>
            <w:shd w:val="clear" w:color="auto" w:fill="FFFFFF"/>
            <w:vAlign w:val="center"/>
          </w:tcPr>
          <w:p w14:paraId="49525E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default" w:asciiTheme="minorEastAsia" w:hAnsiTheme="minorEastAsia" w:cstheme="minorEastAsia"/>
                <w:b w:val="0"/>
                <w:i w:val="0"/>
                <w:color w:val="000000"/>
                <w:sz w:val="24"/>
                <w:szCs w:val="24"/>
                <w:vertAlign w:val="baseline"/>
                <w:lang w:val="en-US" w:eastAsia="zh-CN"/>
              </w:rPr>
              <w:t>90.68</w:t>
            </w:r>
          </w:p>
        </w:tc>
      </w:tr>
      <w:tr w14:paraId="52C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1" w:type="dxa"/>
            <w:tcBorders>
              <w:top w:val="single" w:color="E9E9E9" w:themeColor="background1" w:themeShade="EA" w:sz="6" w:space="0"/>
              <w:left w:val="single" w:color="4874CB" w:themeColor="accent1" w:sz="6" w:space="0"/>
              <w:bottom w:val="single" w:color="4874CB" w:themeColor="accent1" w:sz="6" w:space="0"/>
              <w:right w:val="single" w:color="4874CB" w:themeColor="accent1" w:sz="6" w:space="0"/>
            </w:tcBorders>
            <w:shd w:val="clear" w:color="auto" w:fill="4874CB" w:themeFill="accent1"/>
            <w:vAlign w:val="center"/>
          </w:tcPr>
          <w:p w14:paraId="0FF69AC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heme="minorEastAsia" w:hAnsiTheme="minorEastAsia" w:cstheme="minorEastAsia"/>
                <w:b/>
                <w:i w:val="0"/>
                <w:color w:val="FFFFFF"/>
                <w:sz w:val="24"/>
                <w:szCs w:val="24"/>
                <w:vertAlign w:val="baseline"/>
                <w:lang w:val="en-US" w:eastAsia="zh-CN"/>
              </w:rPr>
            </w:pPr>
            <w:r>
              <w:rPr>
                <w:rFonts w:hint="eastAsia" w:asciiTheme="minorEastAsia" w:hAnsiTheme="minorEastAsia" w:cstheme="minorEastAsia"/>
                <w:b/>
                <w:i w:val="0"/>
                <w:color w:val="FFFFFF"/>
                <w:sz w:val="24"/>
                <w:szCs w:val="24"/>
                <w:vertAlign w:val="baseline"/>
                <w:lang w:val="en-US" w:eastAsia="zh-CN"/>
              </w:rPr>
              <w:t>毕业三年晋升比例</w:t>
            </w:r>
          </w:p>
        </w:tc>
        <w:tc>
          <w:tcPr>
            <w:tcW w:w="1575" w:type="dxa"/>
            <w:tcBorders>
              <w:top w:val="single" w:color="C8D5EF" w:themeColor="accent1" w:themeTint="4C" w:sz="6" w:space="0"/>
              <w:left w:val="single" w:color="4874CB" w:themeColor="accent1" w:sz="6" w:space="0"/>
              <w:bottom w:val="single" w:color="4874CB" w:themeColor="accent1" w:sz="6" w:space="0"/>
              <w:right w:val="nil"/>
            </w:tcBorders>
            <w:shd w:val="clear" w:color="auto" w:fill="FFFFFF"/>
            <w:vAlign w:val="center"/>
          </w:tcPr>
          <w:p w14:paraId="19579E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w:t>
            </w:r>
          </w:p>
        </w:tc>
        <w:tc>
          <w:tcPr>
            <w:tcW w:w="1590" w:type="dxa"/>
            <w:tcBorders>
              <w:top w:val="single" w:color="C8D5EF" w:themeColor="accent1" w:themeTint="4C" w:sz="6" w:space="0"/>
              <w:left w:val="nil"/>
              <w:bottom w:val="single" w:color="4874CB" w:themeColor="accent1" w:sz="6" w:space="0"/>
              <w:right w:val="nil"/>
            </w:tcBorders>
            <w:shd w:val="clear" w:color="auto" w:fill="EDF1F9" w:themeFill="accent1" w:themeFillTint="19"/>
            <w:vAlign w:val="center"/>
          </w:tcPr>
          <w:p w14:paraId="0C8D35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24.63</w:t>
            </w:r>
          </w:p>
        </w:tc>
        <w:tc>
          <w:tcPr>
            <w:tcW w:w="1552" w:type="dxa"/>
            <w:tcBorders>
              <w:top w:val="single" w:color="C8D5EF" w:themeColor="accent1" w:themeTint="4C" w:sz="6" w:space="0"/>
              <w:left w:val="nil"/>
              <w:bottom w:val="single" w:color="4874CB" w:themeColor="accent1" w:sz="6" w:space="0"/>
              <w:right w:val="single" w:color="4874CB" w:themeColor="accent1" w:sz="6" w:space="0"/>
            </w:tcBorders>
            <w:shd w:val="clear" w:color="auto" w:fill="auto"/>
            <w:vAlign w:val="center"/>
          </w:tcPr>
          <w:p w14:paraId="40A4D30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heme="minorEastAsia" w:hAnsiTheme="minorEastAsia" w:cstheme="minorEastAsia"/>
                <w:b w:val="0"/>
                <w:i w:val="0"/>
                <w:color w:val="000000"/>
                <w:sz w:val="24"/>
                <w:szCs w:val="24"/>
                <w:vertAlign w:val="baseline"/>
                <w:lang w:val="en-US" w:eastAsia="zh-CN"/>
              </w:rPr>
            </w:pPr>
            <w:r>
              <w:rPr>
                <w:rFonts w:hint="eastAsia" w:asciiTheme="minorEastAsia" w:hAnsiTheme="minorEastAsia" w:cstheme="minorEastAsia"/>
                <w:b w:val="0"/>
                <w:i w:val="0"/>
                <w:color w:val="000000"/>
                <w:sz w:val="24"/>
                <w:szCs w:val="24"/>
                <w:vertAlign w:val="baseline"/>
                <w:lang w:val="en-US" w:eastAsia="zh-CN"/>
              </w:rPr>
              <w:t>25.21</w:t>
            </w:r>
          </w:p>
        </w:tc>
      </w:tr>
    </w:tbl>
    <w:p w14:paraId="5BB983AC">
      <w:pPr>
        <w:pStyle w:val="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bookmarkStart w:id="57" w:name="_Toc9918"/>
      <w:bookmarkStart w:id="58" w:name="_Toc13829"/>
      <w:r>
        <w:t xml:space="preserve">表 </w:t>
      </w:r>
      <w:r>
        <w:fldChar w:fldCharType="begin"/>
      </w:r>
      <w:r>
        <w:instrText xml:space="preserve"> SEQ 表 \* ARABIC </w:instrText>
      </w:r>
      <w:r>
        <w:fldChar w:fldCharType="separate"/>
      </w:r>
      <w:r>
        <w:t>10</w:t>
      </w:r>
      <w:r>
        <w:fldChar w:fldCharType="end"/>
      </w:r>
      <w:bookmarkStart w:id="59" w:name="_Toc19163"/>
      <w:r>
        <w:rPr>
          <w:rFonts w:hint="eastAsia"/>
          <w:lang w:eastAsia="zh-CN"/>
        </w:rPr>
        <w:t xml:space="preserve">  六安天河职业中专学校毕业生收入及满意度调查表</w:t>
      </w:r>
      <w:bookmarkEnd w:id="59"/>
      <w:r>
        <w:rPr>
          <w:rFonts w:hint="eastAsia"/>
          <w:lang w:eastAsia="zh-CN"/>
        </w:rPr>
        <w:t>（</w:t>
      </w:r>
      <w:r>
        <w:rPr>
          <w:rFonts w:hint="eastAsia"/>
          <w:lang w:val="en-US" w:eastAsia="zh-CN"/>
        </w:rPr>
        <w:t>数据来源：学校毕业生跟踪调查）</w:t>
      </w:r>
    </w:p>
    <w:p w14:paraId="3F347CF3">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60" w:name="_Toc16761"/>
      <w:r>
        <w:rPr>
          <w:rFonts w:hint="eastAsia" w:ascii="黑体" w:hAnsi="黑体" w:eastAsia="黑体" w:cs="黑体"/>
          <w:lang w:val="en-US" w:eastAsia="zh-CN"/>
        </w:rPr>
        <w:t>2.5专业建设</w:t>
      </w:r>
      <w:bookmarkEnd w:id="57"/>
      <w:bookmarkEnd w:id="58"/>
      <w:bookmarkEnd w:id="60"/>
    </w:p>
    <w:p w14:paraId="3AC19B4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深入调研行业需求与发展趋势，结合自身定位与资源优势，对专业设置进行灵活调整，着力构建特色鲜明的专业体系。同时，建立专业动态调整机制，定期开展专业评估与优化工作，打造以能力培养为本位、以职业实践为主线、以项目课程为主体的方向化专业课程体系，科学合理确定公共基础课与专业技能课的学时比例，并根据行业产业发展动态及时修订课程内容。</w:t>
      </w:r>
    </w:p>
    <w:p w14:paraId="12DE839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计算机应用、市场营销等传统优势专业，积极争取资金支持，加大实训设施投入力度，强化学生技能培养，以更好满足企业对技术人才的迫切需求。对于播音与主持等文化艺术类专业、运动训练等王牌专业，学校着力打造特色专业群，通过整合优质资源，提升集群发展效应，推动专业间的交叉融合，着力培养复合型人才。新能源汽车、康养旅游等新兴专业则与企业深度合作，确保专业设置与产业需求精准对接，逐步形成能够灵活适应市场变化的优势专业集群。</w:t>
      </w:r>
    </w:p>
    <w:p w14:paraId="2021EBC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同时，学校持续推进“双师型”教师队伍建设，强化教师企业实践锻炼机制，提升教学团队的实践指导能力。依托校企协同育人平台，引入行业技术标准与真实项目案例，推动教学内容与岗位需求无缝衔接。定期开展毕业生跟踪调研，收集用人单位反馈，反向优化人才培养方案，形成闭环质量监控体系，持续提升专业建设与产业发展的契合度。</w:t>
      </w:r>
    </w:p>
    <w:p w14:paraId="74C5F644">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61" w:name="_Toc27005"/>
      <w:bookmarkStart w:id="62" w:name="_Toc11152"/>
      <w:bookmarkStart w:id="63" w:name="_Toc26435"/>
      <w:r>
        <w:rPr>
          <w:rFonts w:hint="eastAsia" w:ascii="黑体" w:hAnsi="黑体" w:eastAsia="黑体" w:cs="黑体"/>
          <w:lang w:val="en-US" w:eastAsia="zh-CN"/>
        </w:rPr>
        <w:t>2.6课程建设</w:t>
      </w:r>
      <w:bookmarkEnd w:id="61"/>
      <w:bookmarkEnd w:id="62"/>
      <w:bookmarkEnd w:id="63"/>
    </w:p>
    <w:p w14:paraId="3623CED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t>落实</w:t>
      </w:r>
      <w:r>
        <w:rPr>
          <w:rFonts w:hint="eastAsia" w:asciiTheme="minorEastAsia" w:hAnsiTheme="minorEastAsia" w:cstheme="minorEastAsia"/>
          <w:sz w:val="28"/>
          <w:szCs w:val="28"/>
          <w:lang w:val="en-US" w:eastAsia="zh-CN"/>
        </w:rPr>
        <w:t>相关</w:t>
      </w:r>
      <w:r>
        <w:rPr>
          <w:rFonts w:hint="default" w:asciiTheme="minorEastAsia" w:hAnsiTheme="minorEastAsia" w:cstheme="minorEastAsia"/>
          <w:sz w:val="28"/>
          <w:szCs w:val="28"/>
          <w:lang w:val="en-US" w:eastAsia="zh-CN"/>
        </w:rPr>
        <w:t>规定，开足开好公共基础课程。学校坚持公共基础课与专业课并重的原则，科学制定课时计划</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加强思政课程</w:t>
      </w:r>
      <w:r>
        <w:rPr>
          <w:rFonts w:hint="eastAsia" w:asciiTheme="minorEastAsia" w:hAnsiTheme="minorEastAsia" w:cstheme="minorEastAsia"/>
          <w:sz w:val="28"/>
          <w:szCs w:val="28"/>
          <w:lang w:val="en-US" w:eastAsia="zh-CN"/>
        </w:rPr>
        <w:t>与</w:t>
      </w:r>
      <w:r>
        <w:rPr>
          <w:rFonts w:hint="default" w:asciiTheme="minorEastAsia" w:hAnsiTheme="minorEastAsia" w:cstheme="minorEastAsia"/>
          <w:sz w:val="28"/>
          <w:szCs w:val="28"/>
          <w:lang w:val="en-US" w:eastAsia="zh-CN"/>
        </w:rPr>
        <w:t>课程思政建设，</w:t>
      </w:r>
      <w:r>
        <w:rPr>
          <w:rFonts w:hint="eastAsia" w:asciiTheme="minorEastAsia" w:hAnsiTheme="minorEastAsia" w:cstheme="minorEastAsia"/>
          <w:sz w:val="28"/>
          <w:szCs w:val="28"/>
          <w:lang w:val="en-US" w:eastAsia="zh-CN"/>
        </w:rPr>
        <w:t>确保公共基础课程</w:t>
      </w:r>
      <w:r>
        <w:rPr>
          <w:rFonts w:hint="default" w:asciiTheme="minorEastAsia" w:hAnsiTheme="minorEastAsia" w:cstheme="minorEastAsia"/>
          <w:sz w:val="28"/>
          <w:szCs w:val="28"/>
          <w:lang w:val="en-US" w:eastAsia="zh-CN"/>
        </w:rPr>
        <w:t>开足、开齐、开好，注重学生能力培养，为培养德智体美劳全面发展的高素质技术技能人才奠定坚实基础。</w:t>
      </w:r>
    </w:p>
    <w:p w14:paraId="5056342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教材选用规范，德育课、文化课均采用教育部及省教育厅规定的教材，专业课程则全部选用省教育厅推荐目录内的教材。学校积极推进课程改革，高度重视校本资源的开发与利用。目前，学校主干专业均已结合学校人才培养的实际需求，开设了相应的校本课程并编写了配套校本教材。</w:t>
      </w:r>
    </w:p>
    <w:p w14:paraId="7208B47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同时，学校还开发了线上线下相结合的多种形式教学资源，有效满足了教学需求。依托信息化教学平台，推动课程资源数字化转型，提升教学互动性与实践效能。</w:t>
      </w:r>
    </w:p>
    <w:p w14:paraId="70445A0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结合岗位能力新要求，持续优化课程结构，强化模块化、项目化教学设计，促进学生在真实情境中综合应用知识解决问题。加强课程实施过程监控，建立动态反馈机制，定期组织专家对课程质量进行诊断改进，确保课程内容紧跟产业发展步伐，切实提高人才培养的针对性和适应性。</w:t>
      </w:r>
    </w:p>
    <w:p w14:paraId="66D992E4">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64" w:name="_Toc5176"/>
      <w:bookmarkStart w:id="65" w:name="_Toc7336"/>
      <w:bookmarkStart w:id="66" w:name="_Toc24711"/>
      <w:r>
        <w:rPr>
          <w:rFonts w:hint="eastAsia" w:ascii="黑体" w:hAnsi="黑体" w:eastAsia="黑体" w:cs="黑体"/>
          <w:lang w:val="en-US" w:eastAsia="zh-CN"/>
        </w:rPr>
        <w:t>2.7三教改革</w:t>
      </w:r>
      <w:bookmarkEnd w:id="64"/>
      <w:bookmarkEnd w:id="65"/>
      <w:bookmarkEnd w:id="66"/>
    </w:p>
    <w:p w14:paraId="6E4AD9B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近年来，学校积极响应国家政策，深入推进“三教”改革，旨在提升教学质量，培养更多符合社会需求的高素质技术技能人才。  </w:t>
      </w:r>
    </w:p>
    <w:p w14:paraId="340F859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教师改革方面，学校注重教师的专业成长与职业发展，通过组织定期培训、教学研讨、技能竞赛等活动，持续提升教师的教学水平与专业素养。同时，学校积极引进具备行业背景与实践经验的高水平教师，以丰富教学团队的多样性。并实施青年教师导师制，强化“传帮带”机制，助力新进教师快速适应教学岗位。</w:t>
      </w:r>
    </w:p>
    <w:p w14:paraId="2BEB5B9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教材改革工作中，学校紧密把握时代发展趋势，持续更新并优化教材内容，确保学生所学知识与社会实际需求紧密衔接。同时，学校高度重视校本教材的开发工作，积极鼓励教师结合学生的实际学习需求与教学实践经验，编写具有鲜明特色的教材，以满足不同专业、不同层次学生的个性化学习需求。这些校本教材的开发与应用，不仅有效丰富了学校的教学资源体系，还进一步激发了学生的学习积极性与探索兴趣。</w:t>
      </w:r>
    </w:p>
    <w:p w14:paraId="7146C68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Theme="minorEastAsia"/>
          <w:lang w:eastAsia="zh-CN"/>
        </w:rPr>
      </w:pPr>
    </w:p>
    <w:p w14:paraId="397262A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4933950" cy="2980055"/>
            <wp:effectExtent l="0" t="0" r="0" b="10795"/>
            <wp:docPr id="28" name="图片 28" descr="125a15e014b7e71690224ecfe607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25a15e014b7e71690224ecfe6072a7"/>
                    <pic:cNvPicPr>
                      <a:picLocks noChangeAspect="1"/>
                    </pic:cNvPicPr>
                  </pic:nvPicPr>
                  <pic:blipFill>
                    <a:blip r:embed="rId19"/>
                    <a:stretch>
                      <a:fillRect/>
                    </a:stretch>
                  </pic:blipFill>
                  <pic:spPr>
                    <a:xfrm>
                      <a:off x="0" y="0"/>
                      <a:ext cx="4933950" cy="2980055"/>
                    </a:xfrm>
                    <a:prstGeom prst="rect">
                      <a:avLst/>
                    </a:prstGeom>
                  </pic:spPr>
                </pic:pic>
              </a:graphicData>
            </a:graphic>
          </wp:inline>
        </w:drawing>
      </w:r>
    </w:p>
    <w:p w14:paraId="219C0D53">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eastAsia="黑体" w:asciiTheme="minorEastAsia" w:hAnsiTheme="minorEastAsia" w:cstheme="minorEastAsia"/>
          <w:sz w:val="28"/>
          <w:szCs w:val="28"/>
          <w:lang w:val="en-US" w:eastAsia="zh-CN"/>
        </w:rPr>
      </w:pPr>
      <w:r>
        <w:t xml:space="preserve">图 </w:t>
      </w:r>
      <w:r>
        <w:fldChar w:fldCharType="begin"/>
      </w:r>
      <w:r>
        <w:instrText xml:space="preserve"> SEQ 图 \* ARABIC </w:instrText>
      </w:r>
      <w:r>
        <w:fldChar w:fldCharType="separate"/>
      </w:r>
      <w:r>
        <w:t>13</w:t>
      </w:r>
      <w:r>
        <w:fldChar w:fldCharType="end"/>
      </w:r>
      <w:bookmarkStart w:id="67" w:name="_Toc4724"/>
      <w:r>
        <w:rPr>
          <w:rFonts w:hint="eastAsia"/>
          <w:lang w:val="en-US" w:eastAsia="zh-CN"/>
        </w:rPr>
        <w:t xml:space="preserve">  </w:t>
      </w:r>
      <w:r>
        <w:rPr>
          <w:rFonts w:hint="eastAsia"/>
          <w:lang w:eastAsia="zh-CN"/>
        </w:rPr>
        <w:t>教研会上，三名数学老师正在集体备课</w:t>
      </w:r>
      <w:bookmarkEnd w:id="67"/>
    </w:p>
    <w:p w14:paraId="68DEF3F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教法改革领域，学校积极倡导以学生为中心的教学理念，着力培养学生的实践能力与创新精神。通过项目式学习、案例教学、情境教学等多元教学方法，有效激发学生的学习兴趣与主动性，显著提升学习效果。与此同时，学校还积极探索线上线下融合的混合式教学模式，借助现代信息技术手段优化教学流程，进一步提高教学质量。</w:t>
      </w:r>
    </w:p>
    <w:p w14:paraId="2F74690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通过“三教改革”，学校的教学质量实现了显著提升。教师队伍的专业性与多元化程度进一步增强，教材内容更贴合实际需求，教学方法也更为灵活创新。这不仅为学生提供了更优质的教育资源，更为他们的全面发展和未来职业生涯筑牢了坚实基础。</w:t>
      </w:r>
    </w:p>
    <w:p w14:paraId="2FD81BE6">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68" w:name="_Toc7571"/>
      <w:bookmarkStart w:id="69" w:name="_Toc416"/>
      <w:bookmarkStart w:id="70" w:name="_Toc27212"/>
      <w:r>
        <w:rPr>
          <w:rFonts w:hint="eastAsia" w:ascii="黑体" w:hAnsi="黑体" w:eastAsia="黑体" w:cs="黑体"/>
          <w:sz w:val="32"/>
          <w:szCs w:val="32"/>
          <w:lang w:val="en-US" w:eastAsia="zh-CN"/>
        </w:rPr>
        <w:t>3.文化传承</w:t>
      </w:r>
      <w:bookmarkEnd w:id="68"/>
      <w:bookmarkEnd w:id="69"/>
      <w:bookmarkEnd w:id="70"/>
    </w:p>
    <w:p w14:paraId="217F58EC">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71" w:name="_Toc20805"/>
      <w:bookmarkStart w:id="72" w:name="_Toc6672"/>
      <w:bookmarkStart w:id="73" w:name="_Toc32732"/>
      <w:r>
        <w:rPr>
          <w:rFonts w:hint="eastAsia" w:ascii="黑体" w:hAnsi="黑体" w:eastAsia="黑体" w:cs="黑体"/>
          <w:lang w:val="en-US" w:eastAsia="zh-CN"/>
        </w:rPr>
        <w:t>3.1工匠精神传承</w:t>
      </w:r>
      <w:bookmarkEnd w:id="71"/>
      <w:bookmarkEnd w:id="72"/>
      <w:bookmarkEnd w:id="73"/>
    </w:p>
    <w:p w14:paraId="4509EA5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工匠精神不仅是对精湛技艺的执着追求，更是对职业道德、创新能力与社会责任感的综合体现。为此，学校通过多种途径将工匠精神融入教育教学全过程，致力于培养具备工匠精神的高素质技能型人才。</w:t>
      </w:r>
    </w:p>
    <w:p w14:paraId="2E64D0D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定期开展工匠精神主题教育活动，邀请行业内的工匠大师、优秀校友等走进校园，分享他们的成长历程、职业感悟与工匠精神的深刻内涵。通过面对面的交流，学生们得以真切感受到工匠精神的力量，从而激发对专业技能的热爱与追求。</w:t>
      </w:r>
    </w:p>
    <w:p w14:paraId="41ABD23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同时，学校注重在课程教学中渗透工匠精神。在专业课程设置上，强调理论与实践相结合，着重培养学生的实践操作能力与创新思维；在教学过程中，教师积极引导学生树立正确的职业观念，着力培养他们严谨细致、精益求精的工作态度。</w:t>
      </w:r>
    </w:p>
    <w:p w14:paraId="4DF04E9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此外，学校积极推进校企合作，为学生提供更多实践锻炼的机会。通过与企业的深度合作，学生们能够深入了解行业发展趋势与企业文化，将所学知识应用于实际工作中，进一步锤炼自身的工匠精神与职业技能。</w:t>
      </w:r>
    </w:p>
    <w:p w14:paraId="121D7254">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74" w:name="_Toc12470"/>
      <w:bookmarkStart w:id="75" w:name="_Toc31584"/>
      <w:bookmarkStart w:id="76" w:name="_Toc11238"/>
      <w:r>
        <w:rPr>
          <w:rFonts w:hint="eastAsia" w:ascii="黑体" w:hAnsi="黑体" w:eastAsia="黑体" w:cs="黑体"/>
          <w:lang w:val="en-US" w:eastAsia="zh-CN"/>
        </w:rPr>
        <w:t>3.2红色基因传承</w:t>
      </w:r>
      <w:bookmarkEnd w:id="74"/>
      <w:bookmarkEnd w:id="75"/>
      <w:bookmarkEnd w:id="76"/>
    </w:p>
    <w:p w14:paraId="0451517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始终将红色基因传承作为校园文化建设的重要内容。通过举办红色故事演讲比赛、红色经典诵读、红色文化展览等主题教育活动，引导学生深入学习党的历史，感悟革命先烈的英勇事迹与崇高精神。同时，学校积极组织师生前往革命纪念馆、烈士陵园等红色教育基地开展实地学习，进一步厚植学生的爱国情怀与民族自豪感。</w:t>
      </w:r>
    </w:p>
    <w:p w14:paraId="7A51106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此外，学校还将红色基因传承融入日常教学，依托历史、思政等课程载体，系统传授党的优良传统与革命精神。教师注重引导学生树立正确的世界观、人生观和价值观，着力培养他们热爱祖国、热爱人民的真挚情感。通过这些举措，学校已将红色基因传承有机融入办学治校各环节，为培养德智体美劳全面发展的社会主义建设者和接班人筑牢了坚实基础。</w:t>
      </w:r>
    </w:p>
    <w:p w14:paraId="6EEE17F6">
      <w:pPr>
        <w:pStyle w:val="11"/>
        <w:keepNext w:val="0"/>
        <w:keepLines w:val="0"/>
        <w:pageBreakBefore w:val="0"/>
        <w:widowControl w:val="0"/>
        <w:kinsoku/>
        <w:wordWrap/>
        <w:overflowPunct/>
        <w:topLinePunct w:val="0"/>
        <w:autoSpaceDE/>
        <w:autoSpaceDN/>
        <w:bidi w:val="0"/>
        <w:adjustRightInd/>
        <w:snapToGrid w:val="0"/>
        <w:spacing w:line="360" w:lineRule="auto"/>
        <w:ind w:firstLine="561" w:firstLineChars="200"/>
        <w:textAlignment w:val="auto"/>
        <w:rPr>
          <w:rFonts w:hint="eastAsia" w:ascii="华文楷体" w:hAnsi="华文楷体" w:eastAsia="华文楷体" w:cs="华文楷体"/>
          <w:b/>
          <w:bCs/>
          <w:sz w:val="28"/>
          <w:szCs w:val="28"/>
          <w:lang w:val="en-US" w:eastAsia="zh-CN"/>
        </w:rPr>
      </w:pPr>
      <w:r>
        <w:rPr>
          <w:rFonts w:hint="eastAsia" w:ascii="华文楷体" w:hAnsi="华文楷体" w:eastAsia="华文楷体" w:cs="华文楷体"/>
          <w:b/>
          <w:bCs/>
          <w:sz w:val="28"/>
          <w:szCs w:val="28"/>
        </w:rPr>
        <w:t xml:space="preserve">案例 </w:t>
      </w:r>
      <w:bookmarkStart w:id="77" w:name="_Toc9323"/>
      <w:r>
        <w:rPr>
          <w:rFonts w:hint="eastAsia" w:ascii="华文楷体" w:hAnsi="华文楷体" w:eastAsia="华文楷体" w:cs="华文楷体"/>
          <w:b/>
          <w:bCs/>
          <w:sz w:val="28"/>
          <w:szCs w:val="28"/>
          <w:lang w:val="en-US" w:eastAsia="zh-CN"/>
        </w:rPr>
        <w:t>4</w:t>
      </w:r>
      <w:r>
        <w:rPr>
          <w:rFonts w:hint="eastAsia" w:ascii="华文楷体" w:hAnsi="华文楷体" w:eastAsia="华文楷体" w:cs="华文楷体"/>
          <w:b/>
          <w:bCs/>
          <w:sz w:val="28"/>
          <w:szCs w:val="28"/>
          <w:lang w:eastAsia="zh-CN"/>
        </w:rPr>
        <w:t xml:space="preserve">  </w:t>
      </w:r>
      <w:bookmarkEnd w:id="77"/>
      <w:r>
        <w:rPr>
          <w:rFonts w:hint="eastAsia" w:ascii="华文楷体" w:hAnsi="华文楷体" w:eastAsia="华文楷体" w:cs="华文楷体"/>
          <w:b/>
          <w:bCs/>
          <w:sz w:val="28"/>
          <w:szCs w:val="28"/>
          <w:lang w:eastAsia="zh-CN"/>
        </w:rPr>
        <w:t>缅怀革命先烈 传承红色血脉</w:t>
      </w:r>
    </w:p>
    <w:p w14:paraId="4D2784A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华文楷体" w:hAnsi="华文楷体" w:eastAsia="华文楷体" w:cs="华文楷体"/>
          <w:sz w:val="28"/>
          <w:szCs w:val="28"/>
          <w:lang w:val="en-US" w:eastAsia="zh-CN"/>
        </w:rPr>
        <w:t>4月4日，学校组织团员青年前往合肥渡江战役纪念馆，开展“清明祭英烈”主题教育实践活动。活动首站便是渡江战役纪念馆。在胜利塔前，校团委副书记陈琛带领全体团员重温入团誓词。随后，校团委组织学生参观场馆，馆内陈列的革命文物、历史图片等，生动翔实地再现了“千帆竞渡夺要塞，百万雄师过大江”的壮阔历史场景。</w:t>
      </w:r>
    </w:p>
    <w:p w14:paraId="20CEB23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45075" cy="3308985"/>
            <wp:effectExtent l="0" t="0" r="3175" b="5715"/>
            <wp:docPr id="5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IMG_256"/>
                    <pic:cNvPicPr>
                      <a:picLocks noChangeAspect="1"/>
                    </pic:cNvPicPr>
                  </pic:nvPicPr>
                  <pic:blipFill>
                    <a:blip r:embed="rId20"/>
                    <a:stretch>
                      <a:fillRect/>
                    </a:stretch>
                  </pic:blipFill>
                  <pic:spPr>
                    <a:xfrm>
                      <a:off x="0" y="0"/>
                      <a:ext cx="5045075" cy="3308985"/>
                    </a:xfrm>
                    <a:prstGeom prst="rect">
                      <a:avLst/>
                    </a:prstGeom>
                    <a:noFill/>
                    <a:ln w="9525">
                      <a:noFill/>
                    </a:ln>
                  </pic:spPr>
                </pic:pic>
              </a:graphicData>
            </a:graphic>
          </wp:inline>
        </w:drawing>
      </w:r>
    </w:p>
    <w:p w14:paraId="07C13CCF">
      <w:pPr>
        <w:pStyle w:val="11"/>
        <w:keepNext w:val="0"/>
        <w:keepLines w:val="0"/>
        <w:pageBreakBefore w:val="0"/>
        <w:widowControl w:val="0"/>
        <w:kinsoku/>
        <w:wordWrap/>
        <w:overflowPunct/>
        <w:topLinePunct w:val="0"/>
        <w:autoSpaceDE/>
        <w:autoSpaceDN/>
        <w:bidi w:val="0"/>
        <w:adjustRightInd/>
        <w:snapToGrid w:val="0"/>
        <w:spacing w:line="360" w:lineRule="auto"/>
        <w:ind w:firstLine="400" w:firstLineChars="20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14</w:t>
      </w:r>
      <w:r>
        <w:fldChar w:fldCharType="end"/>
      </w:r>
      <w:bookmarkStart w:id="78" w:name="_Toc24006"/>
      <w:r>
        <w:rPr>
          <w:rFonts w:hint="eastAsia"/>
          <w:lang w:val="en-US" w:eastAsia="zh-CN"/>
        </w:rPr>
        <w:t xml:space="preserve">  同学们在渡江战役纪念馆前</w:t>
      </w:r>
      <w:bookmarkEnd w:id="78"/>
    </w:p>
    <w:p w14:paraId="04368F8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eastAsiaTheme="minorEastAsia"/>
          <w:lang w:eastAsia="zh-CN"/>
        </w:rPr>
      </w:pPr>
      <w:r>
        <w:rPr>
          <w:rFonts w:hint="eastAsia" w:ascii="华文楷体" w:hAnsi="华文楷体" w:eastAsia="华文楷体" w:cs="华文楷体"/>
          <w:sz w:val="28"/>
          <w:szCs w:val="28"/>
          <w:lang w:val="en-US" w:eastAsia="zh-CN"/>
        </w:rPr>
        <w:t>第二站，师生代表一行来到安徽名人馆，深入了解江淮大地人文荟萃的深厚底蕴，感悟安徽人励志图强、矢志报国的赤诚情怀，沉浸式体验徽州大地丰富多彩的非遗文化。驻足在先贤们的雕塑前，仿佛跨越时空与先贤们促膝长谈，大家也情不自禁地追忆先贤，与他们的精神相连、跨越古今。</w:t>
      </w:r>
    </w:p>
    <w:p w14:paraId="4C38D27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eastAsiaTheme="minorEastAsia"/>
          <w:lang w:eastAsia="zh-CN"/>
        </w:rPr>
      </w:pPr>
      <w:r>
        <w:rPr>
          <w:rFonts w:hint="eastAsia" w:ascii="华文楷体" w:hAnsi="华文楷体" w:eastAsia="华文楷体" w:cs="华文楷体"/>
          <w:sz w:val="28"/>
          <w:szCs w:val="28"/>
          <w:lang w:val="en-US" w:eastAsia="zh-CN"/>
        </w:rPr>
        <w:t>铭记红色历史，汲取红色力量。本次清明祭英烈主题教育实践活动的开展，让团员青年们深刻体悟到先烈们为革命英勇奋斗的崇高精神，这极大地激励着大家在今后的学习中传承革命传统，践行初心使命，持续推动个人的学习与成长，当好新时代“党的助手和后备军”，以实际行动为祖国的发展贡献自己的力量。</w:t>
      </w:r>
    </w:p>
    <w:p w14:paraId="2A46F590">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79" w:name="_Toc12744"/>
      <w:bookmarkStart w:id="80" w:name="_Toc12724"/>
      <w:bookmarkStart w:id="81" w:name="_Toc26887"/>
      <w:r>
        <w:rPr>
          <w:rFonts w:hint="eastAsia" w:ascii="黑体" w:hAnsi="黑体" w:eastAsia="黑体" w:cs="黑体"/>
          <w:lang w:val="en-US" w:eastAsia="zh-CN"/>
        </w:rPr>
        <w:t>3.3中华优秀传统文化传承</w:t>
      </w:r>
      <w:bookmarkEnd w:id="79"/>
      <w:bookmarkEnd w:id="80"/>
      <w:bookmarkEnd w:id="81"/>
    </w:p>
    <w:p w14:paraId="172F9EA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学校深知中华优秀传统文化是中华民族的精神命脉，也是涵养社会主义核心价值观的重要源泉。为此，学校采取了一系列举措，着力加强中华优秀传统文化的传承工作。</w:t>
      </w:r>
    </w:p>
    <w:p w14:paraId="6D26FE2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一方面，学校开设了国学经典诵读、书法、剪纸等丰富多样的传统文化课程，让学生在学习与实践中亲身感受传统文化的独特魅力。这些课程不仅丰富了学生的课余生活，更培养了他们对传统文化的浓厚兴趣与真挚热爱。</w:t>
      </w:r>
    </w:p>
    <w:p w14:paraId="6D9690E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另一方面，学校积极举办诗词大会、书法展览、传统节日庆祝等传统文化主题活动，为学生搭建展示才华的平台，同时营造出浓厚的传统文化氛围。通过这些活动，学生得以更深入地领悟中华优秀传统文化的精髓与内涵，进一步坚定了传承和弘扬传统文化的决心。</w:t>
      </w:r>
    </w:p>
    <w:p w14:paraId="7F51C5B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此外，学校注重将传统文化元素融入校园文化建设，通过校园景观、宣传栏、标语等载体展示传统文化的魅力，让师生在潜移默化中受到传统文化的熏陶与感染。</w:t>
      </w:r>
    </w:p>
    <w:p w14:paraId="1B2FDDE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通过这些举措，学校成功将中华优秀传统文化传承融入办学的各个环节，为学生提供了丰富多彩的文化体验与精神滋养，也为培养具有文化自信和民族情怀的新时代青年奠定了坚实基础。</w:t>
      </w:r>
    </w:p>
    <w:p w14:paraId="5F7F57A7">
      <w:pPr>
        <w:pStyle w:val="11"/>
        <w:keepNext w:val="0"/>
        <w:keepLines w:val="0"/>
        <w:pageBreakBefore w:val="0"/>
        <w:widowControl w:val="0"/>
        <w:kinsoku/>
        <w:wordWrap/>
        <w:overflowPunct/>
        <w:topLinePunct w:val="0"/>
        <w:autoSpaceDE/>
        <w:autoSpaceDN/>
        <w:bidi w:val="0"/>
        <w:adjustRightInd/>
        <w:snapToGrid w:val="0"/>
        <w:spacing w:line="360" w:lineRule="auto"/>
        <w:ind w:firstLine="561" w:firstLineChars="200"/>
        <w:textAlignment w:val="auto"/>
        <w:rPr>
          <w:rFonts w:hint="eastAsia" w:ascii="华文楷体" w:hAnsi="华文楷体" w:eastAsia="华文楷体" w:cs="华文楷体"/>
          <w:b/>
          <w:bCs/>
          <w:sz w:val="28"/>
          <w:szCs w:val="28"/>
          <w:lang w:val="en-US" w:eastAsia="zh-CN"/>
        </w:rPr>
      </w:pPr>
      <w:r>
        <w:rPr>
          <w:rFonts w:hint="eastAsia" w:ascii="华文楷体" w:hAnsi="华文楷体" w:eastAsia="华文楷体" w:cs="华文楷体"/>
          <w:b/>
          <w:bCs/>
          <w:sz w:val="28"/>
          <w:szCs w:val="28"/>
        </w:rPr>
        <w:t xml:space="preserve">案例 </w:t>
      </w:r>
      <w:bookmarkStart w:id="82" w:name="_Toc41"/>
      <w:r>
        <w:rPr>
          <w:rFonts w:hint="eastAsia" w:ascii="华文楷体" w:hAnsi="华文楷体" w:eastAsia="华文楷体" w:cs="华文楷体"/>
          <w:b/>
          <w:bCs/>
          <w:sz w:val="28"/>
          <w:szCs w:val="28"/>
          <w:lang w:val="en-US" w:eastAsia="zh-CN"/>
        </w:rPr>
        <w:t>5</w:t>
      </w:r>
      <w:r>
        <w:rPr>
          <w:rFonts w:hint="eastAsia" w:ascii="华文楷体" w:hAnsi="华文楷体" w:eastAsia="华文楷体" w:cs="华文楷体"/>
          <w:b/>
          <w:bCs/>
          <w:sz w:val="28"/>
          <w:szCs w:val="28"/>
          <w:lang w:eastAsia="zh-CN"/>
        </w:rPr>
        <w:t xml:space="preserve">  弘扬传统文化，赓续民族血脉</w:t>
      </w:r>
      <w:bookmarkEnd w:id="82"/>
    </w:p>
    <w:p w14:paraId="40C429F1">
      <w:pPr>
        <w:keepNext w:val="0"/>
        <w:keepLines w:val="0"/>
        <w:pageBreakBefore w:val="0"/>
        <w:widowControl w:val="0"/>
        <w:kinsoku/>
        <w:wordWrap/>
        <w:overflowPunct/>
        <w:topLinePunct w:val="0"/>
        <w:autoSpaceDE/>
        <w:autoSpaceDN/>
        <w:bidi w:val="0"/>
        <w:adjustRightInd/>
        <w:snapToGrid w:val="0"/>
        <w:spacing w:line="360" w:lineRule="auto"/>
        <w:ind w:firstLine="561" w:firstLineChars="200"/>
        <w:jc w:val="left"/>
        <w:textAlignment w:val="auto"/>
        <w:rPr>
          <w:rFonts w:hint="eastAsia" w:eastAsiaTheme="minorEastAsia"/>
          <w:lang w:eastAsia="zh-CN"/>
        </w:rPr>
      </w:pPr>
      <w:r>
        <w:rPr>
          <w:rFonts w:hint="eastAsia" w:ascii="华文楷体" w:hAnsi="华文楷体" w:eastAsia="华文楷体" w:cs="华文楷体"/>
          <w:b/>
          <w:bCs/>
          <w:sz w:val="28"/>
          <w:szCs w:val="28"/>
          <w:lang w:val="en-US" w:eastAsia="zh-CN"/>
        </w:rPr>
        <w:t>青团飘香 传统弘扬。</w:t>
      </w:r>
      <w:r>
        <w:rPr>
          <w:rFonts w:hint="eastAsia" w:ascii="华文楷体" w:hAnsi="华文楷体" w:eastAsia="华文楷体" w:cs="华文楷体"/>
          <w:b w:val="0"/>
          <w:bCs w:val="0"/>
          <w:kern w:val="2"/>
          <w:sz w:val="28"/>
          <w:szCs w:val="28"/>
          <w:lang w:val="en-US" w:eastAsia="zh-CN" w:bidi="ar-SA"/>
        </w:rPr>
        <w:t>为弘扬传统文化，让同学们感受其魅力与劳动乐趣，学校组织青团与艾米粿手作实践活动。</w:t>
      </w:r>
      <w:r>
        <w:rPr>
          <w:rFonts w:hint="eastAsia" w:ascii="华文楷体" w:hAnsi="华文楷体" w:eastAsia="华文楷体" w:cs="华文楷体"/>
          <w:sz w:val="28"/>
          <w:szCs w:val="28"/>
          <w:lang w:val="en-US" w:eastAsia="zh-CN"/>
        </w:rPr>
        <w:t xml:space="preserve">活动开始，高一年级部副主任徐杰讲解清明节习俗与青团由来，还详细演示青团制作步骤，从艾叶挑拣到最终蒸制都讲解细致。同学们制作时交流对清明习俗的认识，现场氛围热烈温馨。随后大家包装好青团送给老师和班主任，感谢他们的辛勤付出。 </w:t>
      </w:r>
    </w:p>
    <w:p w14:paraId="5D82183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90160" cy="3176270"/>
            <wp:effectExtent l="0" t="0" r="15240" b="5080"/>
            <wp:docPr id="5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IMG_256"/>
                    <pic:cNvPicPr>
                      <a:picLocks noChangeAspect="1"/>
                    </pic:cNvPicPr>
                  </pic:nvPicPr>
                  <pic:blipFill>
                    <a:blip r:embed="rId21"/>
                    <a:srcRect b="16798"/>
                    <a:stretch>
                      <a:fillRect/>
                    </a:stretch>
                  </pic:blipFill>
                  <pic:spPr>
                    <a:xfrm>
                      <a:off x="0" y="0"/>
                      <a:ext cx="5090160" cy="3176270"/>
                    </a:xfrm>
                    <a:prstGeom prst="rect">
                      <a:avLst/>
                    </a:prstGeom>
                    <a:noFill/>
                    <a:ln w="9525">
                      <a:noFill/>
                    </a:ln>
                  </pic:spPr>
                </pic:pic>
              </a:graphicData>
            </a:graphic>
          </wp:inline>
        </w:drawing>
      </w:r>
    </w:p>
    <w:p w14:paraId="7EC67F1E">
      <w:pPr>
        <w:pStyle w:val="11"/>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15</w:t>
      </w:r>
      <w:r>
        <w:fldChar w:fldCharType="end"/>
      </w:r>
      <w:bookmarkStart w:id="83" w:name="_Toc1162"/>
      <w:r>
        <w:rPr>
          <w:rFonts w:hint="eastAsia"/>
          <w:lang w:val="en-US" w:eastAsia="zh-CN"/>
        </w:rPr>
        <w:t xml:space="preserve">  同学们正在</w:t>
      </w:r>
      <w:r>
        <w:rPr>
          <w:rFonts w:hint="eastAsia"/>
          <w:lang w:eastAsia="zh-CN"/>
        </w:rPr>
        <w:t>制作青团</w:t>
      </w:r>
      <w:bookmarkEnd w:id="83"/>
    </w:p>
    <w:p w14:paraId="019D7E5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eastAsiaTheme="minorEastAsia"/>
          <w:lang w:eastAsia="zh-CN"/>
        </w:rPr>
      </w:pPr>
      <w:r>
        <w:rPr>
          <w:rFonts w:hint="eastAsia" w:ascii="华文楷体" w:hAnsi="华文楷体" w:eastAsia="华文楷体" w:cs="华文楷体"/>
          <w:sz w:val="28"/>
          <w:szCs w:val="28"/>
          <w:lang w:val="en-US" w:eastAsia="zh-CN"/>
        </w:rPr>
        <w:t xml:space="preserve">此次活动让同学们感受传统美食制作乐趣，通过实践深化对清明节认知，增强对中华优秀传统文化的认同感与自豪感。活动以传统节日文化为载体助力树立文化自信，传递健康、和谐、文明的生活理念。 </w:t>
      </w:r>
    </w:p>
    <w:p w14:paraId="0274EB97">
      <w:pPr>
        <w:keepNext w:val="0"/>
        <w:keepLines w:val="0"/>
        <w:pageBreakBefore w:val="0"/>
        <w:widowControl w:val="0"/>
        <w:kinsoku/>
        <w:wordWrap/>
        <w:overflowPunct/>
        <w:topLinePunct w:val="0"/>
        <w:autoSpaceDE/>
        <w:autoSpaceDN/>
        <w:bidi w:val="0"/>
        <w:adjustRightInd/>
        <w:snapToGrid w:val="0"/>
        <w:spacing w:line="360" w:lineRule="auto"/>
        <w:ind w:firstLine="561" w:firstLineChars="200"/>
        <w:jc w:val="left"/>
        <w:textAlignment w:val="auto"/>
        <w:rPr>
          <w:rFonts w:hint="eastAsia" w:eastAsiaTheme="minorEastAsia"/>
          <w:lang w:eastAsia="zh-CN"/>
        </w:rPr>
      </w:pPr>
      <w:r>
        <w:rPr>
          <w:rFonts w:hint="eastAsia" w:ascii="华文楷体" w:hAnsi="华文楷体" w:eastAsia="华文楷体" w:cs="华文楷体"/>
          <w:b/>
          <w:bCs/>
          <w:sz w:val="28"/>
          <w:szCs w:val="28"/>
          <w:lang w:val="en-US" w:eastAsia="zh-CN"/>
        </w:rPr>
        <w:t>心“粽”有爱  温暖前行。</w:t>
      </w:r>
      <w:r>
        <w:rPr>
          <w:rFonts w:hint="eastAsia" w:ascii="华文楷体" w:hAnsi="华文楷体" w:eastAsia="华文楷体" w:cs="华文楷体"/>
          <w:sz w:val="28"/>
          <w:szCs w:val="28"/>
          <w:lang w:val="en-US" w:eastAsia="zh-CN"/>
        </w:rPr>
        <w:t>为传承传统文化、迎接端午，</w:t>
      </w:r>
      <w:r>
        <w:rPr>
          <w:rFonts w:hint="eastAsia" w:ascii="华文楷体" w:hAnsi="华文楷体" w:eastAsia="华文楷体" w:cs="华文楷体"/>
          <w:b w:val="0"/>
          <w:bCs w:val="0"/>
          <w:kern w:val="2"/>
          <w:sz w:val="28"/>
          <w:szCs w:val="28"/>
          <w:lang w:val="en-US" w:eastAsia="zh-CN" w:bidi="ar-SA"/>
        </w:rPr>
        <w:t>学校</w:t>
      </w:r>
      <w:r>
        <w:rPr>
          <w:rFonts w:hint="eastAsia" w:ascii="华文楷体" w:hAnsi="华文楷体" w:eastAsia="华文楷体" w:cs="华文楷体"/>
          <w:sz w:val="28"/>
          <w:szCs w:val="28"/>
          <w:lang w:val="en-US" w:eastAsia="zh-CN"/>
        </w:rPr>
        <w:t>于5月29日开展“心‘粽’有爱，温暖前行”主题活动。活动以学科跨界融合为特色，打造沉浸式文化体验场景，带来知识熏陶与心灵滋养。</w:t>
      </w:r>
    </w:p>
    <w:p w14:paraId="3EBE021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eastAsiaTheme="minorEastAsia"/>
          <w:lang w:eastAsia="zh-CN"/>
        </w:rPr>
      </w:pPr>
      <w:r>
        <w:rPr>
          <w:rFonts w:hint="eastAsia" w:ascii="华文楷体" w:hAnsi="华文楷体" w:eastAsia="华文楷体" w:cs="华文楷体"/>
          <w:sz w:val="28"/>
          <w:szCs w:val="28"/>
          <w:lang w:val="en-US" w:eastAsia="zh-CN"/>
        </w:rPr>
        <w:t>在融合课堂上，传统习俗注入学科智慧：生物课高曼老师带学生挂艾草，剖析科学机理；语文课龚辉老师领学生品读诗词、解字谜，激发对传统文化共鸣。动手实践环节热闹：学生在老师和后勤阿姨指导下包粽子，编织端午绳、制作驱蚊香囊，“射五毒”游戏也深受欢迎。传统习俗里的祈愿化作驱逐负面情绪、克服成长障碍的隐喻。</w:t>
      </w:r>
    </w:p>
    <w:p w14:paraId="6452C44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left"/>
        <w:textAlignment w:val="auto"/>
        <w:rPr>
          <w:rFonts w:hint="eastAsia" w:eastAsiaTheme="minorEastAsia"/>
          <w:lang w:eastAsia="zh-CN"/>
        </w:rPr>
      </w:pPr>
      <w:r>
        <w:rPr>
          <w:rFonts w:hint="eastAsia" w:ascii="华文楷体" w:hAnsi="华文楷体" w:eastAsia="华文楷体" w:cs="华文楷体"/>
          <w:sz w:val="28"/>
          <w:szCs w:val="28"/>
          <w:lang w:val="en-US" w:eastAsia="zh-CN"/>
        </w:rPr>
        <w:t xml:space="preserve">活动尾声，学生将亲手制作的粽子和香囊赠给师友，传递祝福。作品承载传统文化，寄托青少年对生活的向往与担当。知行合一的体验让古老民俗焕发光彩，为文化传承筑牢情感根基。 </w:t>
      </w:r>
    </w:p>
    <w:p w14:paraId="3C2FE80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177790" cy="3890645"/>
            <wp:effectExtent l="0" t="0" r="3810" b="14605"/>
            <wp:docPr id="5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IMG_256"/>
                    <pic:cNvPicPr>
                      <a:picLocks noChangeAspect="1"/>
                    </pic:cNvPicPr>
                  </pic:nvPicPr>
                  <pic:blipFill>
                    <a:blip r:embed="rId22"/>
                    <a:stretch>
                      <a:fillRect/>
                    </a:stretch>
                  </pic:blipFill>
                  <pic:spPr>
                    <a:xfrm>
                      <a:off x="0" y="0"/>
                      <a:ext cx="5177790" cy="3890645"/>
                    </a:xfrm>
                    <a:prstGeom prst="rect">
                      <a:avLst/>
                    </a:prstGeom>
                    <a:noFill/>
                    <a:ln w="9525">
                      <a:noFill/>
                    </a:ln>
                  </pic:spPr>
                </pic:pic>
              </a:graphicData>
            </a:graphic>
          </wp:inline>
        </w:drawing>
      </w:r>
    </w:p>
    <w:p w14:paraId="4A6882B2">
      <w:pPr>
        <w:pStyle w:val="11"/>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宋体" w:hAnsi="宋体" w:eastAsia="黑体" w:cs="宋体"/>
          <w:sz w:val="24"/>
          <w:szCs w:val="24"/>
          <w:lang w:val="en-US" w:eastAsia="zh-CN"/>
        </w:rPr>
      </w:pPr>
      <w:r>
        <w:t xml:space="preserve">图 </w:t>
      </w:r>
      <w:r>
        <w:fldChar w:fldCharType="begin"/>
      </w:r>
      <w:r>
        <w:instrText xml:space="preserve"> SEQ 图 \* ARABIC </w:instrText>
      </w:r>
      <w:r>
        <w:fldChar w:fldCharType="separate"/>
      </w:r>
      <w:r>
        <w:t>16</w:t>
      </w:r>
      <w:r>
        <w:fldChar w:fldCharType="end"/>
      </w:r>
      <w:bookmarkStart w:id="84" w:name="_Toc20992"/>
      <w:r>
        <w:rPr>
          <w:rFonts w:hint="eastAsia"/>
          <w:lang w:val="en-US" w:eastAsia="zh-CN"/>
        </w:rPr>
        <w:t xml:space="preserve">  老师在教学生制作香囊</w:t>
      </w:r>
      <w:bookmarkEnd w:id="84"/>
    </w:p>
    <w:p w14:paraId="5507FA56">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85" w:name="_Toc6041"/>
      <w:bookmarkStart w:id="86" w:name="_Toc29049"/>
      <w:bookmarkStart w:id="87" w:name="_Toc9078"/>
      <w:r>
        <w:rPr>
          <w:rFonts w:hint="eastAsia" w:ascii="黑体" w:hAnsi="黑体" w:eastAsia="黑体" w:cs="黑体"/>
          <w:lang w:val="en-US" w:eastAsia="zh-CN"/>
        </w:rPr>
        <w:t>3.4职业启蒙教育</w:t>
      </w:r>
      <w:bookmarkEnd w:id="85"/>
      <w:bookmarkEnd w:id="86"/>
      <w:bookmarkEnd w:id="87"/>
    </w:p>
    <w:p w14:paraId="634DFBF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职业启蒙教育一直是学校培养学生职业素养和兴趣的重要环节。学校通过一系列创新性举措，为学生们提供了多元化的职业启蒙体验。</w:t>
      </w:r>
    </w:p>
    <w:p w14:paraId="361F8BB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邀请了各行各业的优秀从业者走进校园，为学生们开展职业讲座与职业规划指导。这些讲座不仅帮助学生们深入了解不同职业的特点与要求，更激发了他们对未来职业的兴趣与向往。与此同时，学校还组织学生们前往企业、工厂等职业场所进行参观，让他们亲身体验职业环境，真切感受职业氛围，进而更加明确自己的职业方向与目标。</w:t>
      </w:r>
    </w:p>
    <w:p w14:paraId="4FFD1A9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同样注重将职业启蒙教育融入学生的日常生活。通过组织职业主题班会、开展职业角色扮演等活动，学校让学生在轻松愉快的氛围中了解职业知识、培养职业素养。这些举措不仅丰富了学生的校园生活，更为他们未来的职业发展奠定了坚实基础。</w:t>
      </w:r>
    </w:p>
    <w:p w14:paraId="52D4481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职业体验日当天，学生们化身“小小工程师”“创意设计师”，在模拟工作场景中协作完成任务，于动手实践中体悟职业责任与价值。职业启蒙不再局限于课堂，而成为连接理想与现实的桥梁，助力青少年在探索中锚定方向，在实践中孕育梦想。学生们在导师引导下完成职业倾向测试，结合自身兴趣与能力绘制专属生涯蓝图。学校同步建立“职业成长档案”，记录每一次实践感悟与技能突破，让发展轨迹清晰可见。一系列举措持续深化学生的职业认知，助力他们从容迎接未来挑战。</w:t>
      </w:r>
    </w:p>
    <w:p w14:paraId="41FF7561">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88" w:name="_Toc18397"/>
      <w:bookmarkStart w:id="89" w:name="_Toc25576"/>
      <w:bookmarkStart w:id="90" w:name="_Toc7414"/>
      <w:r>
        <w:rPr>
          <w:rFonts w:hint="eastAsia" w:ascii="黑体" w:hAnsi="黑体" w:eastAsia="黑体" w:cs="黑体"/>
          <w:sz w:val="32"/>
          <w:szCs w:val="32"/>
          <w:lang w:val="en-US" w:eastAsia="zh-CN"/>
        </w:rPr>
        <w:t>4.产教融合</w:t>
      </w:r>
      <w:bookmarkEnd w:id="88"/>
      <w:bookmarkEnd w:id="89"/>
      <w:bookmarkEnd w:id="90"/>
    </w:p>
    <w:p w14:paraId="5E411E88">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91" w:name="_Toc9620"/>
      <w:bookmarkStart w:id="92" w:name="_Toc20690"/>
      <w:bookmarkStart w:id="93" w:name="_Toc10695"/>
      <w:r>
        <w:rPr>
          <w:rFonts w:hint="eastAsia" w:ascii="黑体" w:hAnsi="黑体" w:eastAsia="黑体" w:cs="黑体"/>
          <w:lang w:val="en-US" w:eastAsia="zh-CN"/>
        </w:rPr>
        <w:t>4.1校企合作双元育人</w:t>
      </w:r>
      <w:bookmarkEnd w:id="91"/>
      <w:bookmarkEnd w:id="92"/>
      <w:bookmarkEnd w:id="93"/>
    </w:p>
    <w:p w14:paraId="142D256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积极探索校企合作新模式，为自身发展创优赋能。始终坚持深化产教融合、校企合作，进一步探索校企协同育人新路径，借鉴“双元制”、现代学徒制等成熟经验，主动对接具备资质的企业，在人才培养、技术创新、就业创业、社会服务、文化传承等领域开展深度合作，构建校企“双元”真实育人场景。校企双方共同研究制定人才培养方案，及时将行业新技术、新工艺、新规范融入教学标准与教学内容。</w:t>
      </w:r>
    </w:p>
    <w:p w14:paraId="7037A6D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已与多家企业建立长期稳定的合作关系，携手推进实习实训基地建设、联合科技攻关、企业员工培训等项目。借助这些合作平台，学生得以进入企业真实工作环境开展实践操作，深入了解企业文化与岗位要求，有效提升职业素养与就业竞争力。</w:t>
      </w:r>
    </w:p>
    <w:p w14:paraId="54226D5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与此同时，学校积极参与企业技术创新与产品研发工作，为企业提供技术支持与智力服务，实现双方互利共赢。这种校企合作新模式不仅为学校发展注入了新活力，也为企业转型升级与可持续发展提供了坚实的人才保障与技术支撑。</w:t>
      </w:r>
    </w:p>
    <w:p w14:paraId="3441CA2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校企双方共建课程体系与评价标准，推动教学过程与生产过程无缝对接。企业技术骨干走进课堂授课，学校教师定期赴企业研修，形成师资双向流动机制。学生在真实项目中锤炼技能，逐步成长为适应产业需求的高素质技术技能人才。</w:t>
      </w:r>
    </w:p>
    <w:p w14:paraId="33B9DF9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eastAsiaTheme="minorEastAsia"/>
          <w:lang w:val="en-US" w:eastAsia="zh-CN"/>
        </w:rPr>
      </w:pPr>
      <w:r>
        <w:rPr>
          <w:rFonts w:hint="eastAsia" w:asciiTheme="minorEastAsia" w:hAnsiTheme="minorEastAsia" w:cstheme="minorEastAsia"/>
          <w:sz w:val="28"/>
          <w:szCs w:val="28"/>
          <w:lang w:val="en-US" w:eastAsia="zh-CN"/>
        </w:rPr>
        <w:t>产教融合的深入推进，有效缩短了从校园到职场的适应周期，为区域经济发展输送了大批“用得上、留得住、发展好”的实用型人才。企业定期参与学生技能考核与成果评价，确保人才培养质量贴合实际岗位需求。校企联合设立专项奖学金，激励在技术创新与实践应用中表现突出的学生。通过共建产业学院、大师工作室等载体，推动专业设置与产业需求精准对接，实现教育链、人才链与产业链的有机融合。</w:t>
      </w:r>
    </w:p>
    <w:p w14:paraId="66E35D74">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94" w:name="_Toc19769"/>
      <w:bookmarkStart w:id="95" w:name="_Toc17363"/>
      <w:bookmarkStart w:id="96" w:name="_Toc8764"/>
      <w:r>
        <w:rPr>
          <w:rFonts w:hint="eastAsia" w:ascii="黑体" w:hAnsi="黑体" w:eastAsia="黑体" w:cs="黑体"/>
          <w:lang w:val="en-US" w:eastAsia="zh-CN"/>
        </w:rPr>
        <w:t>4.2校企共建资源</w:t>
      </w:r>
      <w:bookmarkEnd w:id="94"/>
      <w:bookmarkEnd w:id="95"/>
      <w:bookmarkEnd w:id="96"/>
    </w:p>
    <w:p w14:paraId="6001A70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为深化校企合作，学校联合多家企业共同打造了一系列优质教育资源。双方携手投入资金与设备，建成多个实习实训基地及联合研发中心，为学生搭建了优质的实践平台与创新空间。这些基地和中心不仅配备先进的仪器设备与实验材料，更组建了由企业专家与学校教师共同构成的指导团队，专门负责学生实践操作与科研项目的指导工作。</w:t>
      </w:r>
    </w:p>
    <w:p w14:paraId="0E1F8F2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此外，校企双方还合作开发了一系列教学课程与教材，将企业的实际需求与技术前沿深度融入教学内容，助力学生更好地适应市场需求与职业发展。这些课程和教材既注重理论知识的系统传授，又强调实践操作能力的针对性培养，为学生未来的职业发展筑牢了坚实基础。</w:t>
      </w:r>
    </w:p>
    <w:p w14:paraId="5E94BBB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校企共建教育资源，学校不仅有效提升了自身的教育教学水平，还为企业输送了大量高素质技术技能型人才，为企业的转型升级与可持续发展提供了强有力的人才保障与技术支撑，最终实现了学校、企业与社会的多方共赢。</w:t>
      </w:r>
    </w:p>
    <w:p w14:paraId="209B1D4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这种深度融合的资源共建模式，正逐步打破传统教育与产业需求之间的壁垒，使人才培养更加贴近技术变革与市场脉搏。知识不再局限于课堂传授，技能也不止步于模拟训练，而是通过真实项目历练、行业标准引领和协同创新机制，在潜移默化中塑造学生的专业认同与职业能力。</w:t>
      </w:r>
    </w:p>
    <w:p w14:paraId="0794D163">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97" w:name="_Toc28611"/>
      <w:bookmarkStart w:id="98" w:name="_Toc13814"/>
      <w:bookmarkStart w:id="99" w:name="_Toc28475"/>
      <w:r>
        <w:rPr>
          <w:rFonts w:hint="eastAsia" w:ascii="黑体" w:hAnsi="黑体" w:eastAsia="黑体" w:cs="黑体"/>
          <w:lang w:val="en-US" w:eastAsia="zh-CN"/>
        </w:rPr>
        <w:t>4.3校企共建师资队伍</w:t>
      </w:r>
      <w:bookmarkEnd w:id="97"/>
      <w:bookmarkEnd w:id="98"/>
      <w:bookmarkEnd w:id="99"/>
    </w:p>
    <w:p w14:paraId="28A00CF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校企共建师资队伍方面，学校与企业深度合作，共同打造了一支高素质、专业化的教师队伍。一方面，学校选派优秀教师赴企业开展实践锻炼，深入了解企业实际需求与前沿技术动态，有效提升教师的实践能力与职业素养；另一方面，企业派遣技术专家到学校担任兼职教师或客座教授，参与教学计划制定与课程体系构建，将企业一线实践经验与技术前沿成果融入课堂教学，丰富教学内容与实践环节设计。</w:t>
      </w:r>
    </w:p>
    <w:p w14:paraId="370681D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校企双方的协同努力，共建师资队伍不仅显著增强了教师的实践能力与教学水平，还进一步推动了学校与企业的深度融合及互利共赢。同时，这支共建队伍为学生提供了更多元化的学习资源与更广阔的成长平台，助力培养更多契合市场需求的高素质技术技能型人才。这种深度校企合作模式，实现了双方优势互补与资源共享，共同促进了师资队伍的高质量建设与发展。</w:t>
      </w:r>
    </w:p>
    <w:p w14:paraId="7C8EB2E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此基础上，校企双方还建立了定期交流机制与联合教研制度，围绕人才培养目标、课程实施效果及技术发展趋势开展常态化研讨，持续优化教学方案与实践路径。企业专家深度参与教学质量评价与反馈改进，使教育过程更加贴近产业真实场景。教师在产教融合中不断更新知识结构，提升工程实践与项目指导能力，真正实现“双师双能”型队伍建设。这种动态协同的师资培育模式，不仅强化了教育教学的实用性与前瞻性，也为构建长效合作机制提供了核心支撑，进一步推动职业教育向高质量、内涵式发展迈进。</w:t>
      </w:r>
    </w:p>
    <w:p w14:paraId="7C28F0DA">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00" w:name="_Toc24984"/>
      <w:bookmarkStart w:id="101" w:name="_Toc15467"/>
      <w:bookmarkStart w:id="102" w:name="_Toc2826"/>
      <w:r>
        <w:rPr>
          <w:rFonts w:hint="eastAsia" w:ascii="黑体" w:hAnsi="黑体" w:eastAsia="黑体" w:cs="黑体"/>
          <w:lang w:val="en-US" w:eastAsia="zh-CN"/>
        </w:rPr>
        <w:t>4.4产教融合发展</w:t>
      </w:r>
      <w:bookmarkEnd w:id="100"/>
      <w:bookmarkEnd w:id="101"/>
      <w:bookmarkEnd w:id="102"/>
    </w:p>
    <w:p w14:paraId="01BCF9D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在产教融合发展领域，学校积极开展探索与实践，构建起独具特色的产教融合模式。学校与企业深化合作，联合开发课程、共建实训基地，推动教育链、人才链与产业链、创新链的高效衔接。</w:t>
      </w:r>
    </w:p>
    <w:p w14:paraId="74866F3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一方面，学校依据企业需求动态调整专业设置与课程内容，引入行业标准及先进技术，确保人才培养与市场需求高度适配；另一方面，企业主动参与学校教学活动，提供实习实训岗位，协同培养学生的实践能力与职业素养。</w:t>
      </w:r>
    </w:p>
    <w:p w14:paraId="5189F4F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此外，学校通过举办校企合作论坛、技能竞赛等活动，搭建校企交流合作平台，促进双方信息共享与互利共赢。这些活动的开展，既拓宽了学生的视野与就业渠道，也为企业发展创造了更多机遇与可能。</w:t>
      </w:r>
    </w:p>
    <w:p w14:paraId="3BF5E22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产教融合的深入推进，还促使学校在人才培养模式上不断创新，形成“工学交替、知行合一”的协同育人机制。校企共建产业学院，探索订单式培养、现代学徒制等路径，实现招生即招工、就学即就业的无缝对接。教学过程中融入企业真实项目案例，强化学生解决复杂工程问题的能力，提升其岗位适应力与创新能力。学生在真实工作环境中完成项目实践，实现理论知识与实践技能的深度融合。</w:t>
      </w:r>
    </w:p>
    <w:p w14:paraId="71524DA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eastAsiaTheme="minorEastAsia"/>
          <w:lang w:val="en-US" w:eastAsia="zh-CN"/>
        </w:rPr>
      </w:pPr>
      <w:r>
        <w:rPr>
          <w:rFonts w:hint="eastAsia" w:asciiTheme="minorEastAsia" w:hAnsiTheme="minorEastAsia" w:cstheme="minorEastAsia"/>
          <w:sz w:val="28"/>
          <w:szCs w:val="28"/>
          <w:lang w:val="en-US" w:eastAsia="zh-CN"/>
        </w:rPr>
        <w:t>通过推进产教融合，学校不仅提升了教学质量与人才培养水平，还为企业输送了大批高素质技术技能型人才，有力推动了地方经济的转型升级与高质量发展。同时，产教融合进一步深化了校企合作与互利共赢关系，为双方长远发展筑牢了坚实基础。</w:t>
      </w:r>
    </w:p>
    <w:p w14:paraId="37C39432">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103" w:name="_Toc31057"/>
      <w:bookmarkStart w:id="104" w:name="_Toc4639"/>
      <w:bookmarkStart w:id="105" w:name="_Toc22470"/>
      <w:r>
        <w:rPr>
          <w:rFonts w:hint="eastAsia" w:ascii="黑体" w:hAnsi="黑体" w:eastAsia="黑体" w:cs="黑体"/>
          <w:sz w:val="32"/>
          <w:szCs w:val="32"/>
          <w:lang w:val="en-US" w:eastAsia="zh-CN"/>
        </w:rPr>
        <w:t>5.服务贡献</w:t>
      </w:r>
      <w:bookmarkEnd w:id="103"/>
      <w:bookmarkEnd w:id="104"/>
      <w:bookmarkEnd w:id="105"/>
    </w:p>
    <w:p w14:paraId="646BA253">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06" w:name="_Toc18967"/>
      <w:bookmarkStart w:id="107" w:name="_Toc21056"/>
      <w:bookmarkStart w:id="108" w:name="_Toc3990"/>
      <w:r>
        <w:rPr>
          <w:rFonts w:hint="eastAsia" w:ascii="黑体" w:hAnsi="黑体" w:eastAsia="黑体" w:cs="黑体"/>
          <w:lang w:val="en-US" w:eastAsia="zh-CN"/>
        </w:rPr>
        <w:t>5.1.服务行业企业</w:t>
      </w:r>
      <w:bookmarkEnd w:id="106"/>
      <w:bookmarkEnd w:id="107"/>
      <w:bookmarkEnd w:id="108"/>
    </w:p>
    <w:p w14:paraId="130E126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积极履行社会责任，充分发挥自身优势，为企业提供全方位的技术支持与人才服务。通过与企业建立长期合作关系，学校深入了解企业需求，为其量身定制技术培训与人才培养方案。同时，学校积极参与企业的技术创新与产品研发，助力企业实现技术进步与产业升级。</w:t>
      </w:r>
    </w:p>
    <w:p w14:paraId="345E0E4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在服务过程中，学校注重与企业的沟通交流，定期举办技术交流会、研讨会等活动，共同探讨行业发展趋势与技术创新方向。此外，学校还积极为企业推荐优秀毕业生，为企业发展注入新的活力与动力。</w:t>
      </w:r>
    </w:p>
    <w:p w14:paraId="726F06A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通过服务行业企业，学校不仅提升了自身的社会服务能力与影响力，也为地方经济发展作出了积极贡献。未来，学校将继续深化与企业的合作交流，为行业发展与社会进步贡献更多智慧与力量。</w:t>
      </w:r>
    </w:p>
    <w:p w14:paraId="0BE1C5D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eastAsiaTheme="minorEastAsia"/>
          <w:lang w:val="en-US" w:eastAsia="zh-CN"/>
        </w:rPr>
      </w:pPr>
      <w:r>
        <w:rPr>
          <w:rFonts w:hint="eastAsia" w:asciiTheme="minorEastAsia" w:hAnsiTheme="minorEastAsia" w:cstheme="minorEastAsia"/>
          <w:sz w:val="28"/>
          <w:szCs w:val="28"/>
          <w:lang w:val="en-US" w:eastAsia="zh-CN"/>
        </w:rPr>
        <w:t>2026年，学校将进一步拓展服务领域，聚焦区域重点产业需求，建设开放共享的产教融合服务平台，提升技术服务响应能力与人才培养适配度，助力企业破解技术难题、优化人力资源结构。</w:t>
      </w:r>
    </w:p>
    <w:p w14:paraId="6873E802">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09" w:name="_Toc18110"/>
      <w:bookmarkStart w:id="110" w:name="_Toc32391"/>
      <w:bookmarkStart w:id="111" w:name="_Toc22339"/>
      <w:r>
        <w:rPr>
          <w:rFonts w:hint="eastAsia" w:ascii="黑体" w:hAnsi="黑体" w:eastAsia="黑体" w:cs="黑体"/>
          <w:lang w:val="en-US" w:eastAsia="zh-CN"/>
        </w:rPr>
        <w:t>5.2服务地方发展</w:t>
      </w:r>
      <w:bookmarkEnd w:id="109"/>
      <w:bookmarkEnd w:id="110"/>
      <w:bookmarkEnd w:id="111"/>
    </w:p>
    <w:p w14:paraId="28C077F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在服务地方发展方面同样全力以赴。依托优质的教育资源与突出的科研优势，学校积极融入地方经济建设与社会事业发展进程，为地方提供坚实的智力支撑与可靠的人才保障。学校与地方政府、企事业单位建立紧密合作关系，携手推动地方产业升级与经济高质量发展。</w:t>
      </w:r>
    </w:p>
    <w:p w14:paraId="73A757E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服务地方的实践中，学校始终聚焦地方实际需求，开展针对性的教育与培训项目，着力提升地方人才的综合素质与技能水平。与此同时，学校还积极投身地方文化建设与社会公益活动，为地方社会事业进步贡献力量。通过这些扎实努力，学校不仅有效促进了地方经济社会发展，也进一步增强了自身的社会影响力与美誉度。</w:t>
      </w:r>
    </w:p>
    <w:p w14:paraId="15484A2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2026年，学校将深化“校地协同”创新机制，围绕区域主导产业布局，建设区域性技术服务中心与乡村振兴研究院，推动科技成果本地转化。结合地方重大发展需求，开展订单式人才培养与社区教育服务，助力基层治理能力提升和城乡融合发展。</w:t>
      </w:r>
    </w:p>
    <w:p w14:paraId="09F8A20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eastAsiaTheme="minorEastAsia"/>
          <w:lang w:val="en-US" w:eastAsia="zh-CN"/>
        </w:rPr>
      </w:pPr>
      <w:r>
        <w:rPr>
          <w:rFonts w:hint="eastAsia" w:asciiTheme="minorEastAsia" w:hAnsiTheme="minorEastAsia" w:cstheme="minorEastAsia"/>
          <w:sz w:val="28"/>
          <w:szCs w:val="28"/>
          <w:lang w:val="en-US" w:eastAsia="zh-CN"/>
        </w:rPr>
        <w:t>同时，学校将加强与地方产业园区的联动，搭建人才供需对接平台，促进毕业生本地就业创业。依托乡村振兴研究院，组织师生团队深入乡镇开展技术帮扶、规划咨询与文化传承项目，推动县域经济特色化发展。持续开展“智慧助老”“数字下乡”等公益行动，提升基层群众福祉。通过多维度服务，全面助力区域经济社会可持续发展。</w:t>
      </w:r>
    </w:p>
    <w:p w14:paraId="514C08D3">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12" w:name="_Toc7352"/>
      <w:bookmarkStart w:id="113" w:name="_Toc24895"/>
      <w:bookmarkStart w:id="114" w:name="_Toc7054"/>
      <w:r>
        <w:rPr>
          <w:rFonts w:hint="eastAsia" w:ascii="黑体" w:hAnsi="黑体" w:eastAsia="黑体" w:cs="黑体"/>
          <w:lang w:val="en-US" w:eastAsia="zh-CN"/>
        </w:rPr>
        <w:t>5.3服务乡村振兴</w:t>
      </w:r>
      <w:bookmarkEnd w:id="112"/>
      <w:bookmarkEnd w:id="113"/>
      <w:bookmarkEnd w:id="114"/>
    </w:p>
    <w:p w14:paraId="1F2A980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在助力乡村振兴中扮演着重要角色。依托自身丰富的教育资源与科研成果，学校积极投身乡村教育与文化事业的提升工作。通过与乡村地区的紧密合作，学校启动了多项教育支持项目，为乡村学子提供高质量的教育资源与培训机会，有效推动了乡村教育水平的提升。</w:t>
      </w:r>
    </w:p>
    <w:p w14:paraId="32E3AB7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eastAsiaTheme="minorEastAsia"/>
          <w:lang w:val="en-US" w:eastAsia="zh-CN"/>
        </w:rPr>
      </w:pPr>
      <w:r>
        <w:rPr>
          <w:rFonts w:hint="eastAsia" w:asciiTheme="minorEastAsia" w:hAnsiTheme="minorEastAsia" w:cstheme="minorEastAsia"/>
          <w:sz w:val="28"/>
          <w:szCs w:val="28"/>
          <w:lang w:val="en-US" w:eastAsia="zh-CN"/>
        </w:rPr>
        <w:t>此外，学校还高度关注乡村文化传承，通过开展各类文化活动与教育项目，丰富农民的精神文化生活，助力乡村振兴战略的落地实施。通过这些举措，学校不仅为乡村振兴贡献了积极力量，也进一步拓展了自身的社会服务领域。</w:t>
      </w:r>
    </w:p>
    <w:p w14:paraId="5B888E24">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15" w:name="_Toc21368"/>
      <w:bookmarkStart w:id="116" w:name="_Toc780"/>
      <w:bookmarkStart w:id="117" w:name="_Toc4719"/>
      <w:r>
        <w:rPr>
          <w:rFonts w:hint="eastAsia" w:ascii="黑体" w:hAnsi="黑体" w:eastAsia="黑体" w:cs="黑体"/>
          <w:lang w:val="en-US" w:eastAsia="zh-CN"/>
        </w:rPr>
        <w:t>5.4具有地域特色的服务</w:t>
      </w:r>
      <w:bookmarkEnd w:id="115"/>
      <w:bookmarkEnd w:id="116"/>
      <w:bookmarkEnd w:id="117"/>
    </w:p>
    <w:p w14:paraId="4BE5B9D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充分发挥地域优势，提供了一系列富有地域特色的服务。结合所在地区的自然环境、历史文化与经济发展特点，学校设立了多个特色研究中心，致力于地方特色产业的研发与创新。这些研究中心不仅为地方经济注入了新的活力，也为学校的教学和科研活动提供了丰富的实践平台。</w:t>
      </w:r>
    </w:p>
    <w:p w14:paraId="3C8731C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同时，学校还深入挖掘地域文化资源，开展了一系列文化传承与创新项目。通过建立地域文化研究中心与展示平台，学校不仅保护和传承了当地的文化遗产，还推动了地域文化与现代社会的融合，为地方文化事业的发展注入了新的动力，推动地域文化创造性转化与创新性发展。</w:t>
      </w:r>
    </w:p>
    <w:p w14:paraId="33DCDA98">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18" w:name="_Toc22813"/>
      <w:bookmarkStart w:id="119" w:name="_Toc20328"/>
      <w:bookmarkStart w:id="120" w:name="_Toc9859"/>
      <w:r>
        <w:rPr>
          <w:rFonts w:hint="eastAsia" w:ascii="黑体" w:hAnsi="黑体" w:eastAsia="黑体" w:cs="黑体"/>
          <w:lang w:val="en-US" w:eastAsia="zh-CN"/>
        </w:rPr>
        <w:t>5.5开展非学历培训</w:t>
      </w:r>
      <w:bookmarkEnd w:id="118"/>
      <w:bookmarkEnd w:id="119"/>
      <w:bookmarkEnd w:id="120"/>
    </w:p>
    <w:p w14:paraId="0EA5886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积极响应社会对多元化人才的需求，大力开展非学历培训工作。通过与企业、行业协会等合作，学校设计了一系列针对性强、实用性高的培训课程，旨在提升学员的职业技能与综合素质。这些课程涵盖信息技术、市场营销等多个领域，满足了不同行业、不同层次学员的学习需求。</w:t>
      </w:r>
    </w:p>
    <w:p w14:paraId="49AA0CD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充分发挥自身教育资源与师资力量优势，为非学历培训提供高质量教学服务。通过灵活的课程设置与多样化的教学方式，学校精准对接不同学员的学习需求，助力他们提升自我、实现个人价值。同时，学校注重培训成果的转化与应用，推动学员将所学知识融入实际工作场景。通过建立跟踪服务机制和学习反馈平台，持续优化课程内容与教学模式，确保培训实效。</w:t>
      </w:r>
    </w:p>
    <w:p w14:paraId="7800925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同时，学校注重培训方式创新，采用线上线下相结合的模式，为学员打造灵活多样的学习体验。线上课程支持学员随时随地学习，线下实操课程则让学员在专业教师的指导下，扎实掌握实践技能。通过非学历培训，学校不仅为社会培养了大量高素质人才，也进一步增强了自身的社会影响力与核心竞争力。</w:t>
      </w:r>
    </w:p>
    <w:p w14:paraId="2F0A7ED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此外，学校还积极拓展培训覆盖面，面向农村劳动力、下岗职工、退役军人等群体开展专项技能培训，助力其就业创业。结合区域产业发展需求，动态调整培训方向，增强服务社会的精准度与实效性。通过非学历培训的持续深化，学校逐步构建起终身学习支持体系，成为区域人力资源开发的重要支撑力量。</w:t>
      </w:r>
    </w:p>
    <w:p w14:paraId="024C3A7A">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default" w:ascii="黑体" w:hAnsi="黑体" w:eastAsia="黑体" w:cs="黑体"/>
          <w:sz w:val="32"/>
          <w:szCs w:val="32"/>
          <w:lang w:val="en-US" w:eastAsia="zh-CN"/>
        </w:rPr>
      </w:pPr>
      <w:bookmarkStart w:id="121" w:name="_Toc8780"/>
      <w:bookmarkStart w:id="122" w:name="_Toc2588"/>
      <w:bookmarkStart w:id="123" w:name="_Toc28246"/>
      <w:r>
        <w:rPr>
          <w:rFonts w:hint="eastAsia" w:ascii="黑体" w:hAnsi="黑体" w:eastAsia="黑体" w:cs="黑体"/>
          <w:sz w:val="32"/>
          <w:szCs w:val="32"/>
          <w:lang w:val="en-US" w:eastAsia="zh-CN"/>
        </w:rPr>
        <w:t>6.发展保障</w:t>
      </w:r>
    </w:p>
    <w:p w14:paraId="644B4936">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r>
        <w:rPr>
          <w:rFonts w:hint="eastAsia" w:ascii="黑体" w:hAnsi="黑体" w:eastAsia="黑体" w:cs="黑体"/>
          <w:lang w:val="en-US" w:eastAsia="zh-CN"/>
        </w:rPr>
        <w:t>6.1党建引领</w:t>
      </w:r>
      <w:bookmarkEnd w:id="121"/>
      <w:bookmarkEnd w:id="122"/>
      <w:bookmarkEnd w:id="123"/>
    </w:p>
    <w:p w14:paraId="3FAE3BE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党支部以习近平新时代中国特色社会主义思想和党的二十大精神为指引，充分发挥基层党组织的战斗堡垒作用与党员的先锋模范作用，以党建引领学校各项工作全面推进。学校坚持将党建工作深度融入办学治校各领域、各环节，着力强化党员作用发挥，通过实现“四个融合”，为学校高质量发展注入强劲动力。</w:t>
      </w:r>
    </w:p>
    <w:p w14:paraId="5AD1FCC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发挥先锋引领作用，推动党建与教育教学深度融合。</w:t>
      </w:r>
      <w:r>
        <w:rPr>
          <w:rFonts w:hint="eastAsia" w:asciiTheme="minorEastAsia" w:hAnsiTheme="minorEastAsia" w:cstheme="minorEastAsia"/>
          <w:sz w:val="28"/>
          <w:szCs w:val="28"/>
          <w:lang w:val="en-US" w:eastAsia="zh-CN"/>
        </w:rPr>
        <w:t>学校以“党员教师示范课”“四史教育进课堂”等活动为抓手，深化红色教育教学实践，着力培育优良师德师风。党员领导干部带头参与校园巡逻、宿舍巡查、课堂巡学，以实际行动引领校风教风持续向好。同时，推进党建与德育工作有机融合，创新主题班会等活动形式，常态化开展爱国主义等教育，不断丰富德育内涵与内容供给，助力学生综合素养全面提升。</w:t>
      </w:r>
    </w:p>
    <w:p w14:paraId="4520F57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坚持双向培养机制，推动党建与教师队伍建设深度融合。学校</w:t>
      </w:r>
      <w:r>
        <w:rPr>
          <w:rFonts w:hint="eastAsia" w:asciiTheme="minorEastAsia" w:hAnsiTheme="minorEastAsia" w:cstheme="minorEastAsia"/>
          <w:sz w:val="28"/>
          <w:szCs w:val="28"/>
          <w:lang w:val="en-US" w:eastAsia="zh-CN"/>
        </w:rPr>
        <w:t>创新党员管理方式，实行积分制考核，建立党员“五亮”机制，打造党员示范岗，实施“四个优先”激励办法。严格落实“双推双培”，一方面将优秀教学骨干和管理干部推荐培养为党员，另一方面把优秀党员推荐培养为教学骨干和管理干部。通过科学有效的管理与激励政策，培育了大批优秀教学骨干，推动教师队伍建设实现稳步发展。</w:t>
      </w:r>
    </w:p>
    <w:p w14:paraId="426029B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聚焦立德树人根本任务，推动党建与群团组织建设深度融合。</w:t>
      </w:r>
      <w:r>
        <w:rPr>
          <w:rFonts w:hint="eastAsia" w:asciiTheme="minorEastAsia" w:hAnsiTheme="minorEastAsia" w:cstheme="minorEastAsia"/>
          <w:sz w:val="28"/>
          <w:szCs w:val="28"/>
          <w:lang w:val="en-US" w:eastAsia="zh-CN"/>
        </w:rPr>
        <w:t>学校依托团建活动、妇联工作、主题班会等载体，丰富校园文化内涵，提升党建育人实效。同时，组织开展爱国主义教育、党史学习教育、宪法知识讲座等群建活动，形成“党建带群建，群建促党建，齐心共促发展”的良好局面。</w:t>
      </w:r>
    </w:p>
    <w:p w14:paraId="6E43499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b w:val="0"/>
          <w:bCs w:val="0"/>
          <w:sz w:val="28"/>
          <w:szCs w:val="28"/>
          <w:lang w:val="en-US" w:eastAsia="zh-CN"/>
        </w:rPr>
        <w:t>坚守初心使命担当，推动党建与社会责任履行深度融合。学校</w:t>
      </w:r>
      <w:r>
        <w:rPr>
          <w:rFonts w:hint="eastAsia" w:asciiTheme="minorEastAsia" w:hAnsiTheme="minorEastAsia" w:cstheme="minorEastAsia"/>
          <w:sz w:val="28"/>
          <w:szCs w:val="28"/>
          <w:lang w:val="en-US" w:eastAsia="zh-CN"/>
        </w:rPr>
        <w:t>实施“暖心工程”，常态化开展助学纾困活动，切实解决困难学子后顾之忧。组织党员开展“暖冬行动”，为困难学子及其家庭送去温暖关怀。积极组织党员参与志愿服务，为高考送考、复学复课等工作提供全方位保障。此外，学校还组织党员走访社会福利院、敬老院，与社区及脱贫出列村开展结对帮扶，通过捐款捐物、智力支持等方式助力基层发展。全体党员在践行社会责任的过程中，进一步彰显使命担当，强化党性修养。</w:t>
      </w:r>
    </w:p>
    <w:p w14:paraId="36CFDC7A">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24" w:name="_Toc23662"/>
      <w:bookmarkStart w:id="125" w:name="_Toc11166"/>
      <w:bookmarkStart w:id="126" w:name="_Toc4721"/>
      <w:r>
        <w:rPr>
          <w:rFonts w:hint="eastAsia" w:ascii="黑体" w:hAnsi="黑体" w:eastAsia="黑体" w:cs="黑体"/>
          <w:lang w:val="en-US" w:eastAsia="zh-CN"/>
        </w:rPr>
        <w:t>6.2政策落实</w:t>
      </w:r>
      <w:bookmarkEnd w:id="124"/>
      <w:bookmarkEnd w:id="125"/>
      <w:bookmarkEnd w:id="126"/>
    </w:p>
    <w:p w14:paraId="6FA2576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为保障教育事业的持续发展，学校积极响应并有效落实各级政策文件，制定了一系列具体举措。一方面，强化政策宣传，确保每位教职工准确理解政策内容、明确自身职责。通过政策解读会、座谈会等形式，加强政策传达与阐释，提升教职工的政策执行力。另一方面，加强政策执行监督，设立专门监督小组，定期检查政策落实情况，及时发现并解决问题，确保政策落地生根、发挥实效。通过这一系列举措，学校政策得到有效落实，为学校持续发展提供了有力保障。</w:t>
      </w:r>
    </w:p>
    <w:p w14:paraId="1A8E28E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针对中职学校的发展需求，学校出台了一系列针对性保障政策，旨在进一步规范教育教学管理、提升教育教学质量，推动学校全面发展。一方面，加强课程建设与教学改革，出台相关教学质量标准，确保学生掌握实用知识与技能。通过优化课程设置、引入行业前沿教学内容，提升学生的专业能力与竞争力。另一方面，注重师资队伍建设，出台一系列教师培养与激励政策。通过提供培训与进修机会，鼓励教师持续提升教学水平与专业素养；同时建立教师激励机制，对表现突出的教师予以表彰奖励，激发教师的积极性与创造力。</w:t>
      </w:r>
    </w:p>
    <w:p w14:paraId="1DB0351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此外，学校积极完善学生资助体系，确保每位学生都能享有公平而有质量的教育资源。政策特别关注困难学子的成长，通过设立助学金、奖学金等，减轻其经济负担，助力他们全面发展。同时，健全资助评审机制，确保资助过程公开、公平、公正，切实将关爱落到实处。通过定期回访受助学生，动态掌握其学习生活状况，提供必要的学业帮扶与心理疏导，形成“资助+扶志+强能”一体化支持模式，助力学生健康成长、励志成才。</w:t>
      </w:r>
    </w:p>
    <w:p w14:paraId="2A4F6219">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27" w:name="_Toc20604"/>
      <w:bookmarkStart w:id="128" w:name="_Toc21287"/>
      <w:bookmarkStart w:id="129" w:name="_Toc15587"/>
      <w:r>
        <w:rPr>
          <w:rFonts w:hint="eastAsia" w:ascii="黑体" w:hAnsi="黑体" w:eastAsia="黑体" w:cs="黑体"/>
          <w:lang w:val="en-US" w:eastAsia="zh-CN"/>
        </w:rPr>
        <w:t>6.3学校治理</w:t>
      </w:r>
      <w:bookmarkEnd w:id="127"/>
      <w:bookmarkEnd w:id="128"/>
      <w:bookmarkEnd w:id="129"/>
    </w:p>
    <w:p w14:paraId="3B18880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学校紧紧围绕立德树人根本任务，大力推进治理体系和治理能力现代化建设，推动各项事业发展不断迈上新台阶。</w:t>
      </w:r>
    </w:p>
    <w:p w14:paraId="22218804">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全面贯彻落实党委领导下的校长负责制，严格执行民主集中制，定期召开党委会、校长办公会、教职工代表大会，对学校重大事项进行集体审议和决策，确保政务公开透明、财务规范清晰。</w:t>
      </w:r>
    </w:p>
    <w:p w14:paraId="2D57293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紧扣学校发展目标，进一步明确各部门职责边界，集中力量破解制约学校发展的关键瓶颈问题。各部门负责人作为第一责任人，需牵头制定针对性工作计划与具体实施方案，坚决打破平均主义思维，重点整治人浮于事、畏难躺平的不良风气，着力营造团结进取、实干创新的良好工作氛围。</w:t>
      </w:r>
    </w:p>
    <w:p w14:paraId="625F61A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持续提升干部、教师队伍的政治素养与道德水平，强化师德师风建设的系统性与实效性，加大日常考核与专项督查力度，坚决杜绝违反师德师风的行为发生。对师德考核不合格者实行“一票否决”，切实维护教师队伍的纯洁性与先进性。</w:t>
      </w:r>
    </w:p>
    <w:p w14:paraId="52AA8F5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同时，推进智慧校园建设，优化管理服务流程，提升治理效能。通过信息化平台实现数据共享与业务协同，推动学校管理向精细化、科学化迈进，为师生提供高效便捷的服务保障。</w:t>
      </w:r>
    </w:p>
    <w:p w14:paraId="2E3AE2C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深化校务监督机制，强化纪委全过程参与重大决策的监督职能，畅通师生信访举报渠道，确保权力运行阳光透明。完善绩效评价体系，建立以贡献为导向的激励机制，推动资源向一线教学与科研倾斜。持续推进校园文化建设，弘扬尊师重教风尚，增强师生归属感与荣誉感。</w:t>
      </w:r>
    </w:p>
    <w:p w14:paraId="22DE4A7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坚持把立德树人成效作为检验学校一切工作的根本标准，以人才培养质量为核心指标，健全内部质量保障体系，推动教育教学改革向纵深发展。持续优化专业结构布局，强化特色优势学科建设，深化产教融合、校企协同育人机制，提升学生实践能力与就业竞争力。</w:t>
      </w:r>
    </w:p>
    <w:p w14:paraId="616539B8">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加强课程思政建设，深挖各类课程育人功能，实现知识传授与价值引领有机统一。完善学生综合素质评价体系，注重过程性评价与多元评价相结合，促进学生全面发展。建立健全常态化教学诊断与改进机制，不断提升办学水平与治理能力现代化进程。</w:t>
      </w:r>
    </w:p>
    <w:p w14:paraId="1F930066">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30" w:name="_Toc7245"/>
      <w:bookmarkStart w:id="131" w:name="_Toc31988"/>
      <w:bookmarkStart w:id="132" w:name="_Toc22435"/>
      <w:r>
        <w:rPr>
          <w:rFonts w:hint="eastAsia" w:ascii="黑体" w:hAnsi="黑体" w:eastAsia="黑体" w:cs="黑体"/>
          <w:lang w:val="en-US" w:eastAsia="zh-CN"/>
        </w:rPr>
        <w:t>6.4质量保证体系建设</w:t>
      </w:r>
      <w:bookmarkEnd w:id="130"/>
      <w:bookmarkEnd w:id="131"/>
      <w:bookmarkEnd w:id="132"/>
    </w:p>
    <w:p w14:paraId="17DE5E0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持续完善质量保障体系，具体举措如下：一是强化教学常规管理，通过定期开展教学常规检查、每日组织巡课、每周安排公开课听课、每月实施教学质量检测等方式，为提升办学质量与人才培养质量筑牢管理基础。二是深入推进教学诊断与改进工作，以学校诊改制度建设及运行方案为指引，围绕学校、专业、课程、教师、学生五个层面系统开展诊改，修订完善专业建设、师资培养、教育教学等领域的管理制度，明确部门职责与岗位要求，强化过程管控，切实提升工作实效。三是进一步健全学生学业评价体系，从学业成绩、职业道德、职业素养、技术技能水平等维度制定综合评价办法，加强德育综合量化考评与学业成绩考评，全面提升人才培养质量。</w:t>
      </w:r>
    </w:p>
    <w:p w14:paraId="692FA4AB">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33" w:name="_Toc8919"/>
      <w:bookmarkStart w:id="134" w:name="_Toc21175"/>
      <w:bookmarkStart w:id="135" w:name="_Toc19433"/>
      <w:r>
        <w:rPr>
          <w:rFonts w:hint="eastAsia" w:ascii="黑体" w:hAnsi="黑体" w:eastAsia="黑体" w:cs="黑体"/>
          <w:lang w:val="en-US" w:eastAsia="zh-CN"/>
        </w:rPr>
        <w:t>6.5经费投入</w:t>
      </w:r>
      <w:bookmarkEnd w:id="133"/>
      <w:bookmarkEnd w:id="134"/>
      <w:bookmarkEnd w:id="135"/>
    </w:p>
    <w:p w14:paraId="31D288E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学校高度重视经费投入，确保教育资源合理配置。一是加大基础设施建设投入，用于改善校园环境、提升教学设施水平，为学生创造更优良的学习和生活条件。二是增加教学经费投入，用于引进优质教学资源、开展教师培训，提升教师队伍整体素质与教学能力。三是设立专项基金，支持教育教学改革与科研项目，鼓励教师开展教学创新与学术研究，推动学校教育教学质量持续提升。通过科学合理的经费投入，学校为提升办学质量和人才培养质量奠定了坚实基础。</w:t>
      </w:r>
    </w:p>
    <w:p w14:paraId="12BC9FB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建立了健全的财务与资产管理制度，资金收支严格遵循学校财务管理制度执行。在专项资产管理方面，学校明确了专项资金的来源、使用范围、开支标准，以及审批人员、权限和流程，清晰界定了相关人员的责任，确保项目资金严格按要求、按预算、按程序规范管理。通过严格执行财务制度，保障了财务与资产管理制度的健全性、规范性及执行的有效性。</w:t>
      </w:r>
    </w:p>
    <w:p w14:paraId="025F5EB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同时，学校强化预算绩效管理，注重资金使用效益的跟踪评价，定期开展财务审计与专项督查，确保经费投入与办学目标相匹配。通过信息化手段提升财务管理效率，实现资金流动全过程可追溯、可监控，进一步提高资源配置的科学性与透明度。</w:t>
      </w:r>
    </w:p>
    <w:p w14:paraId="7718589C">
      <w:pPr>
        <w:pStyle w:val="2"/>
        <w:pageBreakBefore w:val="0"/>
        <w:widowControl w:val="0"/>
        <w:numPr>
          <w:ilvl w:val="0"/>
          <w:numId w:val="0"/>
        </w:numPr>
        <w:kinsoku/>
        <w:wordWrap/>
        <w:overflowPunct/>
        <w:topLinePunct w:val="0"/>
        <w:autoSpaceDE/>
        <w:autoSpaceDN/>
        <w:bidi w:val="0"/>
        <w:adjustRightInd/>
        <w:snapToGrid/>
        <w:spacing w:before="0" w:beforeAutospacing="0" w:after="0" w:afterAutospacing="0" w:line="240" w:lineRule="auto"/>
        <w:ind w:left="0" w:leftChars="0" w:firstLine="643" w:firstLineChars="200"/>
        <w:textAlignment w:val="auto"/>
        <w:rPr>
          <w:rFonts w:hint="eastAsia" w:ascii="黑体" w:hAnsi="黑体" w:eastAsia="黑体" w:cs="黑体"/>
          <w:sz w:val="32"/>
          <w:szCs w:val="32"/>
          <w:lang w:val="en-US" w:eastAsia="zh-CN"/>
        </w:rPr>
      </w:pPr>
      <w:bookmarkStart w:id="136" w:name="_Toc21275"/>
      <w:bookmarkStart w:id="137" w:name="_Toc27514"/>
      <w:bookmarkStart w:id="138" w:name="_Toc20728"/>
      <w:r>
        <w:rPr>
          <w:rFonts w:hint="eastAsia" w:ascii="黑体" w:hAnsi="黑体" w:eastAsia="黑体" w:cs="黑体"/>
          <w:sz w:val="32"/>
          <w:szCs w:val="32"/>
          <w:lang w:val="en-US" w:eastAsia="zh-CN"/>
        </w:rPr>
        <w:t>7.挑战和展望</w:t>
      </w:r>
      <w:bookmarkEnd w:id="136"/>
      <w:bookmarkEnd w:id="137"/>
      <w:bookmarkEnd w:id="138"/>
    </w:p>
    <w:p w14:paraId="14220CBE">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eastAsia" w:ascii="黑体" w:hAnsi="黑体" w:eastAsia="黑体" w:cs="黑体"/>
          <w:lang w:val="en-US" w:eastAsia="zh-CN"/>
        </w:rPr>
      </w:pPr>
      <w:bookmarkStart w:id="139" w:name="_Toc19928"/>
      <w:bookmarkStart w:id="140" w:name="_Toc13889"/>
      <w:bookmarkStart w:id="141" w:name="_Toc21330"/>
      <w:r>
        <w:rPr>
          <w:rFonts w:hint="eastAsia" w:ascii="黑体" w:hAnsi="黑体" w:eastAsia="黑体" w:cs="黑体"/>
          <w:lang w:val="en-US" w:eastAsia="zh-CN"/>
        </w:rPr>
        <w:t>7.1面临挑战</w:t>
      </w:r>
      <w:bookmarkEnd w:id="139"/>
      <w:bookmarkEnd w:id="140"/>
      <w:bookmarkEnd w:id="141"/>
    </w:p>
    <w:p w14:paraId="2BB9727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产教融合与校企合作的深度有待加强。当前，这一领域面临企业参与积极性不足、学校配套资源短缺、校企协同机制尚不完善等问题。究其根源，主要在于“校热企冷”的现象较为突出，双方内生动力严重匮乏，导致融合进程相对迟缓。</w:t>
      </w:r>
    </w:p>
    <w:p w14:paraId="448932A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学校专任教师队伍在年龄、性别、学历、职称、专业等结构方面仍不够科学合理，高级职称教师与骨干教师的占比偏低。部分专任教师在学历层次、专业技术水平以及教学能力等方面，与国家示范校的建设标准、中高职贯通人才培养模式的实施要求之间，还存在一定的差距。</w:t>
      </w:r>
    </w:p>
    <w:p w14:paraId="0120763D">
      <w:pPr>
        <w:pStyle w:val="3"/>
        <w:pageBreakBefore w:val="0"/>
        <w:widowControl w:val="0"/>
        <w:numPr>
          <w:ilvl w:val="1"/>
          <w:numId w:val="0"/>
        </w:numPr>
        <w:kinsoku/>
        <w:wordWrap/>
        <w:overflowPunct/>
        <w:topLinePunct w:val="0"/>
        <w:autoSpaceDE/>
        <w:autoSpaceDN/>
        <w:bidi w:val="0"/>
        <w:adjustRightInd/>
        <w:snapToGrid/>
        <w:spacing w:before="0" w:beforeLines="0" w:beforeAutospacing="0" w:after="0" w:afterLines="0" w:afterAutospacing="0" w:line="240" w:lineRule="auto"/>
        <w:ind w:left="0" w:leftChars="0" w:firstLine="643" w:firstLineChars="200"/>
        <w:textAlignment w:val="auto"/>
        <w:rPr>
          <w:rFonts w:hint="default" w:ascii="黑体" w:hAnsi="黑体" w:eastAsia="黑体" w:cs="黑体"/>
          <w:lang w:val="en-US" w:eastAsia="zh-CN"/>
        </w:rPr>
      </w:pPr>
      <w:bookmarkStart w:id="142" w:name="_Toc24062"/>
      <w:bookmarkStart w:id="143" w:name="_Toc31624"/>
      <w:bookmarkStart w:id="144" w:name="_Toc31540"/>
      <w:r>
        <w:rPr>
          <w:rFonts w:hint="eastAsia" w:ascii="黑体" w:hAnsi="黑体" w:eastAsia="黑体" w:cs="黑体"/>
          <w:lang w:val="en-US" w:eastAsia="zh-CN"/>
        </w:rPr>
        <w:t>7.2未来展望</w:t>
      </w:r>
      <w:bookmarkEnd w:id="142"/>
      <w:bookmarkEnd w:id="143"/>
      <w:bookmarkEnd w:id="144"/>
    </w:p>
    <w:p w14:paraId="02636E3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政策引导与支持。政府应出台更多鼓励产教融合、校企合作的政策措施，如税收优惠、资金扶持、项目审批便利等，以降低企业参与职业教育的成本，提高其积极性。同时，政府需加强对产教融合、校企合作项目的监管与指导，确保合作项目的质量与效益。</w:t>
      </w:r>
    </w:p>
    <w:p w14:paraId="282578F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强化师资队伍建设。着力提升教师队伍的能力素质，加强“双师型”教师培训，通过“引进来”与“走出去”相结合的方式：一方面从企业引进具有实践经验的技术专家担任兼职教师，另一方面支持在职教师赴企业实践、参加专业培训，打造一批高水平的“双师型”教学团队。</w:t>
      </w:r>
    </w:p>
    <w:p w14:paraId="43A6186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Theme="minorEastAsia"/>
          <w:lang w:eastAsia="zh-CN"/>
        </w:rPr>
      </w:pPr>
      <w:r>
        <w:rPr>
          <w:rFonts w:hint="eastAsia" w:asciiTheme="minorEastAsia" w:hAnsiTheme="minorEastAsia" w:cstheme="minorEastAsia"/>
          <w:sz w:val="28"/>
          <w:szCs w:val="28"/>
          <w:lang w:val="en-US" w:eastAsia="zh-CN"/>
        </w:rPr>
        <w:t>深化与上海交大教育集团的战略合作。进一步拓展在课程设置、教学资源共享、实训基地建设等领域的合作，共同探索人才培养模式的创新路径。通过引入上海交大教育集团先进的教育理念与管理经验，提升学校整体办学水平，增强学生的实践能力与就业竞争力；同时，借助其品牌影响力与资源优势，拓宽学生的升学与就业渠道，为学校的长远发展奠定坚实基础。</w:t>
      </w:r>
    </w:p>
    <w:p w14:paraId="65E8F38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2B22D0C0">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36D888E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15B9DBAD">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4A4EA9F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369007B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522C1EF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0003D1EC">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21F597A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0E4C48A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3A86F15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77354703">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22D82771">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2B20311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inorEastAsia" w:hAnsiTheme="minorEastAsia" w:cstheme="minorEastAsia"/>
          <w:sz w:val="28"/>
          <w:szCs w:val="28"/>
          <w:lang w:val="en-US" w:eastAsia="zh-CN"/>
        </w:rPr>
      </w:pPr>
    </w:p>
    <w:p w14:paraId="5291FFCA">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38B9B4D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00590B95">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25DA5DFF">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550EA302">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6198918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heme="minorEastAsia" w:hAnsiTheme="minorEastAsia" w:cstheme="minorEastAsia"/>
          <w:sz w:val="28"/>
          <w:szCs w:val="28"/>
          <w:lang w:val="en-US" w:eastAsia="zh-CN"/>
        </w:rPr>
      </w:pPr>
      <w:r>
        <w:drawing>
          <wp:anchor distT="0" distB="0" distL="114300" distR="114300" simplePos="0" relativeHeight="251660288" behindDoc="1" locked="0" layoutInCell="1" allowOverlap="1">
            <wp:simplePos x="0" y="0"/>
            <wp:positionH relativeFrom="column">
              <wp:posOffset>-1137285</wp:posOffset>
            </wp:positionH>
            <wp:positionV relativeFrom="paragraph">
              <wp:posOffset>-905510</wp:posOffset>
            </wp:positionV>
            <wp:extent cx="7630160" cy="10722610"/>
            <wp:effectExtent l="0" t="0" r="889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7630160" cy="10722610"/>
                    </a:xfrm>
                    <a:prstGeom prst="rect">
                      <a:avLst/>
                    </a:prstGeom>
                    <a:noFill/>
                    <a:ln>
                      <a:noFill/>
                    </a:ln>
                  </pic:spPr>
                </pic:pic>
              </a:graphicData>
            </a:graphic>
          </wp:anchor>
        </w:drawing>
      </w:r>
    </w:p>
    <w:p w14:paraId="2BB0D8FB">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74579C2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heme="minorEastAsia" w:hAnsiTheme="minorEastAsia" w:cstheme="minorEastAsia"/>
          <w:sz w:val="28"/>
          <w:szCs w:val="28"/>
          <w:lang w:val="en-US" w:eastAsia="zh-CN"/>
        </w:rPr>
      </w:pPr>
    </w:p>
    <w:p w14:paraId="525E5FA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inorEastAsia" w:hAnsiTheme="minorEastAsia" w:cstheme="minorEastAsia"/>
          <w:sz w:val="28"/>
          <w:szCs w:val="28"/>
          <w:lang w:val="en-US" w:eastAsia="zh-CN"/>
        </w:rPr>
      </w:pPr>
    </w:p>
    <w:p w14:paraId="646910B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heme="minorEastAsia" w:hAnsi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5793D28-807F-46E6-A312-51DB1F6F3F49}"/>
  </w:font>
  <w:font w:name="黑体">
    <w:panose1 w:val="02010609060101010101"/>
    <w:charset w:val="86"/>
    <w:family w:val="auto"/>
    <w:pitch w:val="default"/>
    <w:sig w:usb0="800002BF" w:usb1="38CF7CFA" w:usb2="00000016" w:usb3="00000000" w:csb0="00040001" w:csb1="00000000"/>
    <w:embedRegular r:id="rId2" w:fontKey="{25180B86-37D4-45A9-A5CC-2DA0006DA5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A184A85-B588-42BE-BAA3-A546AC6D306E}"/>
  </w:font>
  <w:font w:name="华文新魏">
    <w:panose1 w:val="02010800040101010101"/>
    <w:charset w:val="86"/>
    <w:family w:val="auto"/>
    <w:pitch w:val="default"/>
    <w:sig w:usb0="00000001" w:usb1="080F0000" w:usb2="00000000" w:usb3="00000000" w:csb0="00040000" w:csb1="00000000"/>
    <w:embedRegular r:id="rId4" w:fontKey="{9E3162AF-87AA-48BB-8AE1-606F8F3ACFA0}"/>
  </w:font>
  <w:font w:name="华文行楷">
    <w:panose1 w:val="02010800040101010101"/>
    <w:charset w:val="86"/>
    <w:family w:val="auto"/>
    <w:pitch w:val="default"/>
    <w:sig w:usb0="00000001" w:usb1="080F0000" w:usb2="00000000" w:usb3="00000000" w:csb0="00040000" w:csb1="00000000"/>
    <w:embedRegular r:id="rId5" w:fontKey="{57D3E765-1341-4E10-86B7-6C564F6FC47C}"/>
  </w:font>
  <w:font w:name="微软雅黑">
    <w:panose1 w:val="020B0503020204020204"/>
    <w:charset w:val="86"/>
    <w:family w:val="auto"/>
    <w:pitch w:val="default"/>
    <w:sig w:usb0="80000287" w:usb1="2ACF3C50" w:usb2="00000016" w:usb3="00000000" w:csb0="0004001F" w:csb1="00000000"/>
    <w:embedRegular r:id="rId6" w:fontKey="{04732288-5E5B-469B-8232-F527A80EC01E}"/>
  </w:font>
  <w:font w:name="华文楷体">
    <w:panose1 w:val="02010600040101010101"/>
    <w:charset w:val="86"/>
    <w:family w:val="auto"/>
    <w:pitch w:val="default"/>
    <w:sig w:usb0="A00002BF" w:usb1="78CF7CFB" w:usb2="00000016" w:usb3="00000000" w:csb0="6006009F" w:csb1="DFD70000"/>
    <w:embedRegular r:id="rId7" w:fontKey="{9A969B1E-57B0-4BCA-8196-54894E4672A2}"/>
  </w:font>
  <w:font w:name="WPSEMBED1">
    <w:panose1 w:val="02010800040101010101"/>
    <w:charset w:val="86"/>
    <w:family w:val="auto"/>
    <w:pitch w:val="default"/>
    <w:sig w:usb0="00000001" w:usb1="080F0000" w:usb2="00000000" w:usb3="00000000" w:csb0="00040000" w:csb1="00000000"/>
  </w:font>
  <w:font w:name="WPSEMBED2">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53574">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4A08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674A08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38FE01"/>
    <w:multiLevelType w:val="multilevel"/>
    <w:tmpl w:val="7038FE01"/>
    <w:lvl w:ilvl="0" w:tentative="0">
      <w:start w:val="1"/>
      <w:numFmt w:val="chineseCounting"/>
      <w:pStyle w:val="2"/>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630" w:firstLine="0"/>
      </w:pPr>
      <w:rPr>
        <w:rFonts w:hint="eastAsia"/>
      </w:rPr>
    </w:lvl>
    <w:lvl w:ilvl="2" w:tentative="0">
      <w:start w:val="1"/>
      <w:numFmt w:val="decimal"/>
      <w:pStyle w:val="4"/>
      <w:suff w:val="nothing"/>
      <w:lvlText w:val="%3．"/>
      <w:lvlJc w:val="left"/>
      <w:pPr>
        <w:ind w:left="23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C008E"/>
    <w:rsid w:val="047012BB"/>
    <w:rsid w:val="0B8F2FBD"/>
    <w:rsid w:val="0C1E733C"/>
    <w:rsid w:val="0CEA36C2"/>
    <w:rsid w:val="0DDE601C"/>
    <w:rsid w:val="0F29268F"/>
    <w:rsid w:val="13911792"/>
    <w:rsid w:val="15E27E0C"/>
    <w:rsid w:val="16D9794A"/>
    <w:rsid w:val="18001980"/>
    <w:rsid w:val="182F1538"/>
    <w:rsid w:val="18F13BDB"/>
    <w:rsid w:val="19827B68"/>
    <w:rsid w:val="1C526BA3"/>
    <w:rsid w:val="1DB71419"/>
    <w:rsid w:val="230C5CE8"/>
    <w:rsid w:val="231D65B1"/>
    <w:rsid w:val="24751C29"/>
    <w:rsid w:val="248E687C"/>
    <w:rsid w:val="256D7E07"/>
    <w:rsid w:val="25B870B5"/>
    <w:rsid w:val="2A3423EF"/>
    <w:rsid w:val="2BAC159C"/>
    <w:rsid w:val="2D5409B8"/>
    <w:rsid w:val="2DB759F2"/>
    <w:rsid w:val="31F36233"/>
    <w:rsid w:val="3751114D"/>
    <w:rsid w:val="394208F6"/>
    <w:rsid w:val="3AB02799"/>
    <w:rsid w:val="3E7A1523"/>
    <w:rsid w:val="3EA46A1F"/>
    <w:rsid w:val="4122586B"/>
    <w:rsid w:val="4235238B"/>
    <w:rsid w:val="43233DB0"/>
    <w:rsid w:val="47D128CC"/>
    <w:rsid w:val="48BB399F"/>
    <w:rsid w:val="48C8391B"/>
    <w:rsid w:val="4B2711BE"/>
    <w:rsid w:val="4F1C6304"/>
    <w:rsid w:val="50287764"/>
    <w:rsid w:val="511A2C8A"/>
    <w:rsid w:val="52F544E6"/>
    <w:rsid w:val="53350000"/>
    <w:rsid w:val="54F35168"/>
    <w:rsid w:val="55C0660B"/>
    <w:rsid w:val="56400538"/>
    <w:rsid w:val="564C0B02"/>
    <w:rsid w:val="579B0009"/>
    <w:rsid w:val="59760FEE"/>
    <w:rsid w:val="599F3F7B"/>
    <w:rsid w:val="5AA31831"/>
    <w:rsid w:val="5AC60EDF"/>
    <w:rsid w:val="5B75607A"/>
    <w:rsid w:val="5D217B99"/>
    <w:rsid w:val="5E1C6E5F"/>
    <w:rsid w:val="5F0D24D7"/>
    <w:rsid w:val="63D4700F"/>
    <w:rsid w:val="67C11E54"/>
    <w:rsid w:val="68CC349C"/>
    <w:rsid w:val="68EF7116"/>
    <w:rsid w:val="6ADF57C9"/>
    <w:rsid w:val="6AE674BA"/>
    <w:rsid w:val="6DF96DF4"/>
    <w:rsid w:val="6E943ADE"/>
    <w:rsid w:val="6F8209AD"/>
    <w:rsid w:val="6FA97CBF"/>
    <w:rsid w:val="749C0A23"/>
    <w:rsid w:val="74F66CD1"/>
    <w:rsid w:val="752F7ED3"/>
    <w:rsid w:val="758918C0"/>
    <w:rsid w:val="759F4EC1"/>
    <w:rsid w:val="776C4A5C"/>
    <w:rsid w:val="77A55067"/>
    <w:rsid w:val="78C12464"/>
    <w:rsid w:val="79837AD1"/>
    <w:rsid w:val="7D723330"/>
    <w:rsid w:val="7DC6558E"/>
    <w:rsid w:val="7E3A462D"/>
    <w:rsid w:val="7E565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0"/>
    <w:pPr>
      <w:numPr>
        <w:ilvl w:val="0"/>
        <w:numId w:val="1"/>
      </w:numPr>
      <w:spacing w:before="0" w:beforeAutospacing="1" w:after="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4"/>
    <w:semiHidden/>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caption"/>
    <w:basedOn w:val="1"/>
    <w:next w:val="1"/>
    <w:link w:val="22"/>
    <w:semiHidden/>
    <w:unhideWhenUsed/>
    <w:qFormat/>
    <w:uiPriority w:val="0"/>
    <w:rPr>
      <w:rFonts w:ascii="Arial" w:hAnsi="Arial" w:eastAsia="黑体"/>
      <w:sz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able of figures"/>
    <w:basedOn w:val="1"/>
    <w:next w:val="1"/>
    <w:qFormat/>
    <w:uiPriority w:val="0"/>
    <w:pPr>
      <w:ind w:leftChars="200" w:hanging="200" w:hangingChars="200"/>
    </w:p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rFonts w:hint="default" w:ascii="Times New Roman" w:hAnsi="Times New Roman" w:cs="Times New Roman"/>
      <w:b/>
      <w:bCs/>
    </w:rPr>
  </w:style>
  <w:style w:type="character" w:customStyle="1" w:styleId="22">
    <w:name w:val="题注 Char"/>
    <w:link w:val="11"/>
    <w:qFormat/>
    <w:uiPriority w:val="0"/>
    <w:rPr>
      <w:rFonts w:ascii="Arial" w:hAnsi="Arial" w:eastAsia="黑体"/>
      <w:sz w:val="20"/>
    </w:rPr>
  </w:style>
  <w:style w:type="character" w:customStyle="1" w:styleId="23">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4">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4329</Words>
  <Characters>5063</Characters>
  <Lines>0</Lines>
  <Paragraphs>0</Paragraphs>
  <TotalTime>12</TotalTime>
  <ScaleCrop>false</ScaleCrop>
  <LinksUpToDate>false</LinksUpToDate>
  <CharactersWithSpaces>5295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2025-02-10T07:05:00Z</dcterms:created>
  <dc:creator>Administrator</dc:creator>
  <cp:lastModifiedBy>枫落伽蓝</cp:lastModifiedBy>
  <dcterms:modified xsi:type="dcterms:W3CDTF">2026-01-08T01:55:32Z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eyJoZGlkIjoiODE4YTIwM2YzZGE3MGE2ZDUzZDk0ODJlOGFjMjZiZjUiLCJ1c2VySWQiOiIxNTU4NTM4NTkyIn0=</vt:lpwstr>
  </property>
  <property fmtid="{D5CDD505-2E9C-101B-9397-08002B2CF9AE}" pid="4" name="ICV">
    <vt:lpwstr>2176EB6A33674184BFBF38CF2E0631A9_13</vt:lpwstr>
  </property>
</Properties>
</file>